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default" w:ascii="Times New Roman" w:hAnsi="Times New Roman" w:cs="Times New Roman"/>
          <w:b/>
          <w:bCs/>
          <w:szCs w:val="20"/>
        </w:rPr>
      </w:pPr>
    </w:p>
    <w:p>
      <w:pPr>
        <w:spacing w:line="276" w:lineRule="auto"/>
        <w:jc w:val="center"/>
        <w:rPr>
          <w:rFonts w:hint="default" w:ascii="Times New Roman" w:hAnsi="Times New Roman" w:cs="Times New Roman"/>
          <w:b/>
          <w:bCs/>
          <w:szCs w:val="20"/>
        </w:rPr>
      </w:pPr>
      <w:r>
        <w:rPr>
          <w:rFonts w:hint="default" w:ascii="Times New Roman" w:hAnsi="Times New Roman" w:cs="Times New Roman"/>
          <w:b/>
          <w:bCs/>
          <w:szCs w:val="20"/>
        </w:rPr>
        <w:t xml:space="preserve">ANEXO IA – TERMO DE REFERÊNCIA </w:t>
      </w:r>
    </w:p>
    <w:p>
      <w:pPr>
        <w:jc w:val="center"/>
        <w:rPr>
          <w:rFonts w:hint="default" w:ascii="Times New Roman" w:hAnsi="Times New Roman" w:cs="Times New Roman" w:eastAsiaTheme="minorEastAsia"/>
          <w:b/>
          <w:highlight w:val="none"/>
          <w:lang w:val="pt-BR" w:eastAsia="pt-BR" w:bidi="ar-SA"/>
        </w:rPr>
      </w:pPr>
      <w:r>
        <w:rPr>
          <w:rFonts w:hint="default" w:ascii="Times New Roman" w:hAnsi="Times New Roman" w:cs="Times New Roman"/>
          <w:b/>
          <w:highlight w:val="none"/>
        </w:rPr>
        <w:t xml:space="preserve">PROCESSO N. </w:t>
      </w:r>
      <w:r>
        <w:rPr>
          <w:rFonts w:hint="default" w:ascii="Times New Roman" w:hAnsi="Times New Roman" w:cs="Times New Roman"/>
          <w:b/>
          <w:highlight w:val="none"/>
          <w:lang w:val="pt-BR"/>
        </w:rPr>
        <w:t>09/2023</w:t>
      </w:r>
    </w:p>
    <w:p>
      <w:pPr>
        <w:jc w:val="center"/>
        <w:rPr>
          <w:rFonts w:hint="default" w:ascii="Times New Roman" w:hAnsi="Times New Roman" w:cs="Times New Roman"/>
          <w:b/>
          <w:highlight w:val="none"/>
          <w:lang w:val="pt-BR"/>
        </w:rPr>
      </w:pPr>
      <w:r>
        <w:rPr>
          <w:rFonts w:hint="default" w:ascii="Times New Roman" w:hAnsi="Times New Roman" w:cs="Times New Roman"/>
          <w:b/>
          <w:highlight w:val="none"/>
        </w:rPr>
        <w:t>PREGÃO N.</w:t>
      </w:r>
      <w:r>
        <w:rPr>
          <w:rFonts w:hint="default" w:ascii="Times New Roman" w:hAnsi="Times New Roman" w:cs="Times New Roman"/>
          <w:b/>
          <w:highlight w:val="none"/>
          <w:lang w:val="pt-BR"/>
        </w:rPr>
        <w:t>03/2023</w:t>
      </w:r>
    </w:p>
    <w:p>
      <w:pPr>
        <w:jc w:val="center"/>
        <w:rPr>
          <w:rFonts w:hint="default" w:ascii="Times New Roman" w:hAnsi="Times New Roman" w:cs="Times New Roman"/>
          <w:b/>
          <w:highlight w:val="none"/>
          <w:lang w:val="pt-BR"/>
        </w:rPr>
      </w:pPr>
      <w:r>
        <w:rPr>
          <w:rFonts w:hint="default" w:ascii="Times New Roman" w:hAnsi="Times New Roman" w:cs="Times New Roman"/>
          <w:b/>
          <w:highlight w:val="none"/>
        </w:rPr>
        <w:t xml:space="preserve">REGISTRO DE PREÇOS: </w:t>
      </w:r>
      <w:r>
        <w:rPr>
          <w:rFonts w:hint="default" w:ascii="Times New Roman" w:hAnsi="Times New Roman" w:cs="Times New Roman"/>
          <w:b/>
          <w:highlight w:val="none"/>
          <w:lang w:val="pt-BR"/>
        </w:rPr>
        <w:t>03/2023</w:t>
      </w:r>
    </w:p>
    <w:p>
      <w:pPr>
        <w:pStyle w:val="35"/>
        <w:rPr>
          <w:rFonts w:hint="default" w:ascii="Times New Roman" w:hAnsi="Times New Roman" w:cs="Times New Roman"/>
          <w:color w:val="auto"/>
        </w:rPr>
      </w:pPr>
      <w:r>
        <w:rPr>
          <w:rFonts w:hint="default" w:ascii="Times New Roman" w:hAnsi="Times New Roman" w:cs="Times New Roman"/>
          <w:color w:val="auto"/>
        </w:rPr>
        <w:t>DO OBJETO</w:t>
      </w:r>
    </w:p>
    <w:p>
      <w:pPr>
        <w:pStyle w:val="21"/>
        <w:numPr>
          <w:ilvl w:val="1"/>
          <w:numId w:val="4"/>
        </w:numPr>
        <w:ind w:left="0" w:firstLine="0"/>
        <w:jc w:val="both"/>
        <w:rPr>
          <w:rFonts w:hint="default" w:ascii="Times New Roman" w:hAnsi="Times New Roman" w:cs="Times New Roman"/>
          <w:szCs w:val="20"/>
        </w:rPr>
      </w:pPr>
      <w:r>
        <w:rPr>
          <w:rFonts w:hint="default" w:ascii="Times New Roman" w:hAnsi="Times New Roman" w:cs="Times New Roman"/>
          <w:szCs w:val="20"/>
        </w:rPr>
        <w:t xml:space="preserve"> Registro de Preços para futura e eventual aquisição de teste</w:t>
      </w:r>
      <w:r>
        <w:rPr>
          <w:rFonts w:hint="default" w:ascii="Times New Roman" w:hAnsi="Times New Roman" w:cs="Times New Roman"/>
          <w:szCs w:val="20"/>
          <w:lang w:val="pt-BR"/>
        </w:rPr>
        <w:t>s</w:t>
      </w:r>
      <w:r>
        <w:rPr>
          <w:rFonts w:hint="default" w:ascii="Times New Roman" w:hAnsi="Times New Roman" w:cs="Times New Roman"/>
          <w:szCs w:val="20"/>
        </w:rPr>
        <w:t xml:space="preserve"> rápido</w:t>
      </w:r>
      <w:r>
        <w:rPr>
          <w:rFonts w:hint="default" w:ascii="Times New Roman" w:hAnsi="Times New Roman" w:cs="Times New Roman"/>
          <w:szCs w:val="20"/>
          <w:lang w:val="pt-BR"/>
        </w:rPr>
        <w:t>s</w:t>
      </w:r>
      <w:r>
        <w:rPr>
          <w:rFonts w:hint="default" w:ascii="Times New Roman" w:hAnsi="Times New Roman" w:cs="Times New Roman"/>
          <w:szCs w:val="20"/>
        </w:rPr>
        <w:t xml:space="preserve"> </w:t>
      </w:r>
      <w:r>
        <w:rPr>
          <w:rFonts w:hint="default" w:ascii="Times New Roman" w:hAnsi="Times New Roman" w:cs="Times New Roman"/>
          <w:szCs w:val="20"/>
          <w:lang w:val="pt-BR"/>
        </w:rPr>
        <w:t>imunocromatográficos para detecção qualitativa do antígeno NS1 do vírus da DENGUE</w:t>
      </w:r>
      <w:r>
        <w:rPr>
          <w:rFonts w:hint="default" w:ascii="Times New Roman" w:hAnsi="Times New Roman" w:cs="Times New Roman"/>
          <w:szCs w:val="20"/>
        </w:rPr>
        <w:t xml:space="preserve">, </w:t>
      </w:r>
      <w:r>
        <w:rPr>
          <w:rFonts w:hint="default" w:ascii="Times New Roman" w:hAnsi="Times New Roman" w:cs="Times New Roman"/>
          <w:szCs w:val="20"/>
          <w:lang w:val="pt-BR"/>
        </w:rPr>
        <w:t xml:space="preserve">em amostra humana de sangue total, soro ou plasma, para auxiliar o diagnóstico das infecções por dengue, </w:t>
      </w:r>
      <w:r>
        <w:rPr>
          <w:rFonts w:hint="default" w:ascii="Times New Roman" w:hAnsi="Times New Roman" w:cs="Times New Roman"/>
          <w:bCs/>
          <w:szCs w:val="20"/>
        </w:rPr>
        <w:t>fundamenta no art. 112 da Lei 8666/93</w:t>
      </w:r>
      <w:r>
        <w:rPr>
          <w:rFonts w:hint="default" w:ascii="Times New Roman" w:hAnsi="Times New Roman" w:cs="Times New Roman"/>
          <w:szCs w:val="20"/>
        </w:rPr>
        <w:t xml:space="preserve"> conforme condições, quantidades e exigências estabelecidas neste instrumento.</w:t>
      </w:r>
    </w:p>
    <w:p>
      <w:pPr>
        <w:pStyle w:val="21"/>
        <w:ind w:left="0"/>
        <w:jc w:val="both"/>
        <w:rPr>
          <w:rFonts w:hint="default" w:ascii="Times New Roman" w:hAnsi="Times New Roman" w:cs="Times New Roman"/>
          <w:szCs w:val="20"/>
        </w:rPr>
      </w:pPr>
    </w:p>
    <w:p>
      <w:pPr>
        <w:pStyle w:val="21"/>
        <w:numPr>
          <w:ilvl w:val="1"/>
          <w:numId w:val="5"/>
        </w:numPr>
        <w:autoSpaceDE w:val="0"/>
        <w:autoSpaceDN w:val="0"/>
        <w:adjustRightInd w:val="0"/>
        <w:ind w:left="0" w:hanging="6"/>
        <w:jc w:val="both"/>
        <w:rPr>
          <w:rFonts w:hint="default" w:ascii="Times New Roman" w:hAnsi="Times New Roman" w:cs="Times New Roman" w:eastAsiaTheme="minorHAnsi"/>
          <w:szCs w:val="20"/>
          <w:lang w:eastAsia="en-US" w:bidi="pt-PT"/>
        </w:rPr>
      </w:pPr>
      <w:r>
        <w:rPr>
          <w:rFonts w:hint="default" w:ascii="Times New Roman" w:hAnsi="Times New Roman" w:cs="Times New Roman" w:eastAsiaTheme="minorHAnsi"/>
          <w:szCs w:val="20"/>
          <w:lang w:eastAsia="en-US" w:bidi="pt-PT"/>
        </w:rPr>
        <w:t xml:space="preserve">Poderão participar da presente licitação as pessoas jurídicas do ramo pertinente ao objeto desta licitação, desde que estejam regularmente estabelecidas no país e que satisfaçam as condições do presente. </w:t>
      </w:r>
    </w:p>
    <w:p>
      <w:pPr>
        <w:pStyle w:val="21"/>
        <w:numPr>
          <w:ilvl w:val="0"/>
          <w:numId w:val="0"/>
        </w:numPr>
        <w:autoSpaceDE w:val="0"/>
        <w:autoSpaceDN w:val="0"/>
        <w:adjustRightInd w:val="0"/>
        <w:ind w:left="-6" w:leftChars="0"/>
        <w:jc w:val="both"/>
        <w:rPr>
          <w:rFonts w:hint="default" w:ascii="Times New Roman" w:hAnsi="Times New Roman" w:cs="Times New Roman" w:eastAsiaTheme="minorHAnsi"/>
          <w:szCs w:val="20"/>
          <w:lang w:eastAsia="en-US" w:bidi="pt-PT"/>
        </w:rPr>
      </w:pPr>
    </w:p>
    <w:p>
      <w:pPr>
        <w:pStyle w:val="21"/>
        <w:numPr>
          <w:ilvl w:val="1"/>
          <w:numId w:val="5"/>
        </w:numPr>
        <w:autoSpaceDE w:val="0"/>
        <w:autoSpaceDN w:val="0"/>
        <w:adjustRightInd w:val="0"/>
        <w:ind w:left="0" w:firstLine="0"/>
        <w:jc w:val="both"/>
        <w:rPr>
          <w:rFonts w:hint="default" w:ascii="Times New Roman" w:hAnsi="Times New Roman" w:cs="Times New Roman" w:eastAsiaTheme="minorHAnsi"/>
          <w:szCs w:val="20"/>
          <w:lang w:eastAsia="en-US"/>
        </w:rPr>
      </w:pPr>
      <w:r>
        <w:rPr>
          <w:rFonts w:hint="default" w:ascii="Times New Roman" w:hAnsi="Times New Roman" w:cs="Times New Roman" w:eastAsiaTheme="minorHAnsi"/>
          <w:szCs w:val="20"/>
          <w:lang w:eastAsia="en-US"/>
        </w:rPr>
        <w:t xml:space="preserve">Por fim, destacamos que os preços constantes neste Termo de Referência, e que se tratam dos preços máximos a serem admitidos nesta licitação, são produto do preço médio apurado por item no banco de preços pesquisado, </w:t>
      </w:r>
      <w:r>
        <w:rPr>
          <w:rFonts w:hint="default" w:ascii="Times New Roman" w:hAnsi="Times New Roman" w:cs="Times New Roman" w:eastAsiaTheme="minorHAnsi"/>
          <w:szCs w:val="20"/>
          <w:lang w:val="pt-BR" w:eastAsia="en-US"/>
        </w:rPr>
        <w:t>conforme descrito no Anexo I da requisição</w:t>
      </w:r>
      <w:bookmarkStart w:id="0" w:name="_GoBack"/>
      <w:bookmarkEnd w:id="0"/>
      <w:r>
        <w:rPr>
          <w:rFonts w:hint="default" w:ascii="Times New Roman" w:hAnsi="Times New Roman" w:cs="Times New Roman" w:eastAsiaTheme="minorHAnsi"/>
          <w:szCs w:val="20"/>
          <w:lang w:val="pt-BR" w:eastAsia="en-US"/>
        </w:rPr>
        <w:t xml:space="preserve">, </w:t>
      </w:r>
      <w:r>
        <w:rPr>
          <w:rFonts w:hint="default" w:ascii="Times New Roman" w:hAnsi="Times New Roman" w:cs="Times New Roman" w:eastAsiaTheme="minorHAnsi"/>
          <w:szCs w:val="20"/>
          <w:lang w:eastAsia="en-US"/>
        </w:rPr>
        <w:t xml:space="preserve">sendo eliminados preços manifestamente inexequíveis e preços muito acima dos preços médios de mercado. </w:t>
      </w:r>
    </w:p>
    <w:p>
      <w:pPr>
        <w:pStyle w:val="21"/>
        <w:numPr>
          <w:ilvl w:val="0"/>
          <w:numId w:val="0"/>
        </w:numPr>
        <w:autoSpaceDE w:val="0"/>
        <w:autoSpaceDN w:val="0"/>
        <w:adjustRightInd w:val="0"/>
        <w:ind w:leftChars="0"/>
        <w:jc w:val="both"/>
        <w:rPr>
          <w:rFonts w:hint="default" w:ascii="Times New Roman" w:hAnsi="Times New Roman" w:cs="Times New Roman" w:eastAsiaTheme="minorHAnsi"/>
          <w:szCs w:val="20"/>
          <w:lang w:val="pt-BR" w:eastAsia="en-US"/>
        </w:rPr>
      </w:pPr>
      <w:r>
        <w:rPr>
          <w:rFonts w:hint="default" w:ascii="Times New Roman" w:hAnsi="Times New Roman" w:cs="Times New Roman" w:eastAsiaTheme="minorHAnsi"/>
          <w:szCs w:val="20"/>
          <w:lang w:val="pt-BR" w:eastAsia="en-US"/>
        </w:rPr>
        <w:t>1.4.1 Ressalta-se que foi realizada pesquisa no Painel de Preços, entretanto, por distoar do valor atualmente praticado no mercado, a pesquisa não será utilizada no presente certame, sob pena de configurar sobrepreço e ferir o princípio da economicidade.</w:t>
      </w:r>
    </w:p>
    <w:p>
      <w:pPr>
        <w:autoSpaceDE w:val="0"/>
        <w:autoSpaceDN w:val="0"/>
        <w:adjustRightInd w:val="0"/>
        <w:jc w:val="both"/>
        <w:rPr>
          <w:rFonts w:hint="default" w:ascii="Times New Roman" w:hAnsi="Times New Roman" w:cs="Times New Roman" w:eastAsiaTheme="minorHAnsi"/>
          <w:szCs w:val="20"/>
          <w:lang w:eastAsia="en-US"/>
        </w:rPr>
      </w:pPr>
    </w:p>
    <w:p>
      <w:pPr>
        <w:pStyle w:val="21"/>
        <w:numPr>
          <w:ilvl w:val="1"/>
          <w:numId w:val="5"/>
        </w:numPr>
        <w:autoSpaceDE w:val="0"/>
        <w:autoSpaceDN w:val="0"/>
        <w:adjustRightInd w:val="0"/>
        <w:jc w:val="both"/>
        <w:rPr>
          <w:rFonts w:hint="default" w:ascii="Times New Roman" w:hAnsi="Times New Roman" w:cs="Times New Roman" w:eastAsiaTheme="minorHAnsi"/>
          <w:szCs w:val="20"/>
          <w:lang w:eastAsia="en-US"/>
        </w:rPr>
      </w:pPr>
      <w:r>
        <w:rPr>
          <w:rFonts w:hint="default" w:ascii="Times New Roman" w:hAnsi="Times New Roman" w:cs="Times New Roman" w:eastAsiaTheme="minorHAnsi"/>
          <w:szCs w:val="20"/>
          <w:lang w:eastAsia="en-US"/>
        </w:rPr>
        <w:t>Tabela de Itens:</w:t>
      </w:r>
    </w:p>
    <w:tbl>
      <w:tblPr>
        <w:tblStyle w:val="20"/>
        <w:tblpPr w:leftFromText="180" w:rightFromText="180" w:vertAnchor="text" w:horzAnchor="page" w:tblpX="525" w:tblpY="306"/>
        <w:tblOverlap w:val="never"/>
        <w:tblW w:w="10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5780"/>
        <w:gridCol w:w="1244"/>
        <w:gridCol w:w="1448"/>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57" w:type="dxa"/>
          </w:tcPr>
          <w:p>
            <w:pPr>
              <w:widowControl w:val="0"/>
              <w:suppressAutoHyphens/>
              <w:spacing w:after="120" w:line="276" w:lineRule="auto"/>
              <w:ind w:left="-108" w:right="-108"/>
              <w:jc w:val="center"/>
              <w:rPr>
                <w:rFonts w:hint="default" w:ascii="Times New Roman" w:hAnsi="Times New Roman" w:cs="Times New Roman" w:eastAsiaTheme="minorEastAsia"/>
                <w:sz w:val="16"/>
                <w:szCs w:val="16"/>
                <w:lang w:eastAsia="en-US"/>
              </w:rPr>
            </w:pPr>
            <w:r>
              <w:rPr>
                <w:rFonts w:hint="default" w:ascii="Times New Roman" w:hAnsi="Times New Roman" w:cs="Times New Roman" w:eastAsiaTheme="minorEastAsia"/>
                <w:sz w:val="16"/>
                <w:szCs w:val="16"/>
                <w:lang w:eastAsia="en-US"/>
              </w:rPr>
              <w:t>ITEM</w:t>
            </w:r>
          </w:p>
        </w:tc>
        <w:tc>
          <w:tcPr>
            <w:tcW w:w="5780" w:type="dxa"/>
          </w:tcPr>
          <w:p>
            <w:pPr>
              <w:autoSpaceDE w:val="0"/>
              <w:autoSpaceDN w:val="0"/>
              <w:adjustRightInd w:val="0"/>
              <w:jc w:val="center"/>
              <w:rPr>
                <w:rFonts w:hint="default" w:ascii="Times New Roman" w:hAnsi="Times New Roman" w:cs="Times New Roman" w:eastAsiaTheme="minorEastAsia"/>
                <w:sz w:val="16"/>
                <w:szCs w:val="16"/>
                <w:shd w:val="clear" w:color="auto" w:fill="FFFFFF"/>
                <w:lang w:eastAsia="en-US"/>
              </w:rPr>
            </w:pPr>
          </w:p>
          <w:p>
            <w:pPr>
              <w:autoSpaceDE w:val="0"/>
              <w:autoSpaceDN w:val="0"/>
              <w:adjustRightInd w:val="0"/>
              <w:jc w:val="center"/>
              <w:rPr>
                <w:rFonts w:hint="default" w:ascii="Times New Roman" w:hAnsi="Times New Roman" w:cs="Times New Roman" w:eastAsiaTheme="minorEastAsia"/>
                <w:sz w:val="16"/>
                <w:szCs w:val="16"/>
                <w:shd w:val="clear" w:color="auto" w:fill="FFFFFF"/>
                <w:lang w:eastAsia="en-US"/>
              </w:rPr>
            </w:pPr>
            <w:r>
              <w:rPr>
                <w:rFonts w:hint="default" w:ascii="Times New Roman" w:hAnsi="Times New Roman" w:cs="Times New Roman" w:eastAsiaTheme="minorEastAsia"/>
                <w:sz w:val="16"/>
                <w:szCs w:val="16"/>
                <w:shd w:val="clear" w:color="auto" w:fill="FFFFFF"/>
                <w:lang w:eastAsia="en-US"/>
              </w:rPr>
              <w:t>DESCRIÇÃO</w:t>
            </w:r>
          </w:p>
        </w:tc>
        <w:tc>
          <w:tcPr>
            <w:tcW w:w="1244" w:type="dxa"/>
          </w:tcPr>
          <w:p>
            <w:pPr>
              <w:widowControl w:val="0"/>
              <w:suppressAutoHyphens/>
              <w:spacing w:after="120" w:line="276" w:lineRule="auto"/>
              <w:jc w:val="center"/>
              <w:rPr>
                <w:rFonts w:hint="default" w:ascii="Times New Roman" w:hAnsi="Times New Roman" w:cs="Times New Roman" w:eastAsiaTheme="minorEastAsia"/>
                <w:bCs/>
                <w:sz w:val="16"/>
                <w:szCs w:val="16"/>
                <w:shd w:val="clear" w:color="auto" w:fill="FFFFFF"/>
                <w:lang w:eastAsia="en-US"/>
              </w:rPr>
            </w:pPr>
            <w:r>
              <w:rPr>
                <w:rFonts w:hint="default" w:ascii="Times New Roman" w:hAnsi="Times New Roman" w:cs="Times New Roman" w:eastAsiaTheme="minorEastAsia"/>
                <w:bCs/>
                <w:sz w:val="16"/>
                <w:szCs w:val="16"/>
                <w:shd w:val="clear" w:color="auto" w:fill="FFFFFF"/>
                <w:lang w:eastAsia="en-US"/>
              </w:rPr>
              <w:t>CAT MAT</w:t>
            </w:r>
          </w:p>
        </w:tc>
        <w:tc>
          <w:tcPr>
            <w:tcW w:w="1448" w:type="dxa"/>
          </w:tcPr>
          <w:p>
            <w:pPr>
              <w:widowControl w:val="0"/>
              <w:suppressAutoHyphens/>
              <w:spacing w:after="120" w:line="276" w:lineRule="auto"/>
              <w:jc w:val="center"/>
              <w:rPr>
                <w:rFonts w:hint="default" w:ascii="Times New Roman" w:hAnsi="Times New Roman" w:cs="Times New Roman" w:eastAsiaTheme="minorEastAsia"/>
                <w:sz w:val="16"/>
                <w:szCs w:val="16"/>
                <w:lang w:eastAsia="en-US"/>
              </w:rPr>
            </w:pPr>
            <w:r>
              <w:rPr>
                <w:rFonts w:hint="default" w:ascii="Times New Roman" w:hAnsi="Times New Roman" w:cs="Times New Roman" w:eastAsiaTheme="minorEastAsia"/>
                <w:sz w:val="16"/>
                <w:szCs w:val="16"/>
                <w:lang w:eastAsia="en-US"/>
              </w:rPr>
              <w:t>APRESENTAÇÃO</w:t>
            </w:r>
          </w:p>
        </w:tc>
        <w:tc>
          <w:tcPr>
            <w:tcW w:w="1269" w:type="dxa"/>
          </w:tcPr>
          <w:p>
            <w:pPr>
              <w:widowControl w:val="0"/>
              <w:suppressAutoHyphens/>
              <w:spacing w:after="120" w:line="276" w:lineRule="auto"/>
              <w:jc w:val="center"/>
              <w:rPr>
                <w:rFonts w:hint="default" w:ascii="Times New Roman" w:hAnsi="Times New Roman" w:cs="Times New Roman" w:eastAsiaTheme="minorEastAsia"/>
                <w:sz w:val="16"/>
                <w:szCs w:val="16"/>
                <w:lang w:eastAsia="en-US"/>
              </w:rPr>
            </w:pPr>
            <w:r>
              <w:rPr>
                <w:rFonts w:hint="default" w:ascii="Times New Roman" w:hAnsi="Times New Roman" w:cs="Times New Roman" w:eastAsiaTheme="minorEastAsia"/>
                <w:sz w:val="16"/>
                <w:szCs w:val="16"/>
                <w:lang w:eastAsia="en-US"/>
              </w:rPr>
              <w:t>QUANTIDADE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9" w:hRule="atLeast"/>
        </w:trPr>
        <w:tc>
          <w:tcPr>
            <w:tcW w:w="757" w:type="dxa"/>
          </w:tcPr>
          <w:p>
            <w:pPr>
              <w:widowControl w:val="0"/>
              <w:suppressAutoHyphens/>
              <w:spacing w:after="120" w:line="276" w:lineRule="auto"/>
              <w:ind w:left="-108" w:right="-108"/>
              <w:jc w:val="center"/>
              <w:rPr>
                <w:rFonts w:hint="default" w:ascii="Times New Roman" w:hAnsi="Times New Roman" w:cs="Times New Roman" w:eastAsiaTheme="minorEastAsia"/>
                <w:b/>
                <w:sz w:val="16"/>
                <w:szCs w:val="16"/>
                <w:lang w:eastAsia="en-US"/>
              </w:rPr>
            </w:pPr>
            <w:r>
              <w:rPr>
                <w:rFonts w:hint="default" w:ascii="Times New Roman" w:hAnsi="Times New Roman" w:cs="Times New Roman" w:eastAsiaTheme="minorEastAsia"/>
                <w:b/>
                <w:sz w:val="16"/>
                <w:szCs w:val="16"/>
                <w:lang w:eastAsia="en-US"/>
              </w:rPr>
              <w:t>01</w:t>
            </w:r>
          </w:p>
        </w:tc>
        <w:tc>
          <w:tcPr>
            <w:tcW w:w="5780" w:type="dxa"/>
          </w:tcPr>
          <w:p>
            <w:pPr>
              <w:autoSpaceDE w:val="0"/>
              <w:autoSpaceDN w:val="0"/>
              <w:adjustRightInd w:val="0"/>
              <w:jc w:val="both"/>
              <w:rPr>
                <w:rFonts w:hint="default" w:ascii="Times New Roman" w:hAnsi="Times New Roman" w:cs="Times New Roman" w:eastAsiaTheme="minorEastAsia"/>
                <w:sz w:val="16"/>
                <w:szCs w:val="16"/>
                <w:shd w:val="clear" w:color="auto" w:fill="FFFFFF"/>
                <w:lang w:eastAsia="en-US"/>
              </w:rPr>
            </w:pPr>
            <w:r>
              <w:rPr>
                <w:rFonts w:hint="default" w:ascii="Times New Roman" w:hAnsi="Times New Roman" w:cs="Times New Roman" w:eastAsiaTheme="minorEastAsia"/>
                <w:sz w:val="16"/>
                <w:szCs w:val="16"/>
                <w:shd w:val="clear" w:color="auto" w:fill="FFFFFF"/>
                <w:lang w:eastAsia="en-US"/>
              </w:rPr>
              <w:t>REAGENTE PARA DIAGNÓSTICO CLÍNICO 3\, TIPO:CONJUNTO COMPLETO\, TIPO DE ANÁLISE:QUALITATIVO ANTÍGENO NS1 DE DENGUE</w:t>
            </w:r>
            <w:r>
              <w:rPr>
                <w:rFonts w:hint="default" w:ascii="Times New Roman" w:hAnsi="Times New Roman" w:cs="Times New Roman" w:eastAsiaTheme="minorEastAsia"/>
                <w:sz w:val="16"/>
                <w:szCs w:val="16"/>
                <w:shd w:val="clear" w:color="auto" w:fill="FFFFFF"/>
                <w:lang w:val="pt-BR" w:eastAsia="en-US"/>
              </w:rPr>
              <w:t xml:space="preserve"> </w:t>
            </w:r>
            <w:r>
              <w:rPr>
                <w:rFonts w:hint="default" w:ascii="Times New Roman" w:hAnsi="Times New Roman" w:cs="Times New Roman" w:eastAsiaTheme="minorEastAsia"/>
                <w:sz w:val="16"/>
                <w:szCs w:val="16"/>
                <w:shd w:val="clear" w:color="auto" w:fill="FFFFFF"/>
                <w:lang w:eastAsia="en-US"/>
              </w:rPr>
              <w:t>VÍRUS\, MÉTODO:IMUNOCROMATOGRAFIA\, APRESENTAÇÃO:TESTE</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lang w:eastAsia="en-US"/>
              </w:rPr>
              <w:t xml:space="preserve">Obs: Imunoensaio cromatográfico para detecção qualitativa do </w:t>
            </w:r>
            <w:r>
              <w:rPr>
                <w:rFonts w:hint="default" w:ascii="Times New Roman" w:hAnsi="Times New Roman" w:cs="Times New Roman" w:eastAsiaTheme="minorEastAsia"/>
                <w:sz w:val="16"/>
                <w:szCs w:val="16"/>
                <w:lang w:val="pt-BR" w:eastAsia="en-US"/>
              </w:rPr>
              <w:t xml:space="preserve">antígeno NS1 do </w:t>
            </w:r>
            <w:r>
              <w:rPr>
                <w:rFonts w:hint="default" w:ascii="Times New Roman" w:hAnsi="Times New Roman" w:cs="Times New Roman" w:eastAsiaTheme="minorEastAsia"/>
                <w:sz w:val="16"/>
                <w:szCs w:val="16"/>
                <w:lang w:eastAsia="en-US"/>
              </w:rPr>
              <w:t xml:space="preserve">vírus </w:t>
            </w:r>
            <w:r>
              <w:rPr>
                <w:rFonts w:hint="default" w:ascii="Times New Roman" w:hAnsi="Times New Roman" w:cs="Times New Roman" w:eastAsiaTheme="minorEastAsia"/>
                <w:sz w:val="16"/>
                <w:szCs w:val="16"/>
                <w:lang w:val="pt-BR" w:eastAsia="en-US"/>
              </w:rPr>
              <w:t>da DENGUE</w:t>
            </w:r>
            <w:r>
              <w:rPr>
                <w:rFonts w:hint="default" w:ascii="Times New Roman" w:hAnsi="Times New Roman" w:cs="Times New Roman" w:eastAsiaTheme="minorEastAsia"/>
                <w:sz w:val="16"/>
                <w:szCs w:val="16"/>
                <w:lang w:eastAsia="en-US"/>
              </w:rPr>
              <w:t xml:space="preserve"> em a</w:t>
            </w:r>
            <w:r>
              <w:rPr>
                <w:rFonts w:hint="default" w:ascii="Times New Roman" w:hAnsi="Times New Roman" w:cs="Times New Roman" w:eastAsiaTheme="minorEastAsia"/>
                <w:sz w:val="16"/>
                <w:szCs w:val="16"/>
                <w:shd w:val="clear" w:color="auto" w:fill="FFFFFF"/>
                <w:lang w:val="pt-BR" w:eastAsia="en-US"/>
              </w:rPr>
              <w:t xml:space="preserve">mostra humana de sangue total, soro ou plasma, para auxiliar o diagnóstico das infecções por dengue. Somente para uso profissional em diagnóstico </w:t>
            </w:r>
            <w:r>
              <w:rPr>
                <w:rFonts w:hint="default" w:ascii="Times New Roman" w:hAnsi="Times New Roman" w:cs="Times New Roman" w:eastAsiaTheme="minorEastAsia"/>
                <w:i/>
                <w:iCs/>
                <w:sz w:val="16"/>
                <w:szCs w:val="16"/>
                <w:shd w:val="clear" w:color="auto" w:fill="FFFFFF"/>
                <w:lang w:val="pt-BR" w:eastAsia="en-US"/>
              </w:rPr>
              <w:t>in vitro</w:t>
            </w:r>
            <w:r>
              <w:rPr>
                <w:rFonts w:hint="default" w:ascii="Times New Roman" w:hAnsi="Times New Roman" w:cs="Times New Roman" w:eastAsiaTheme="minorEastAsia"/>
                <w:sz w:val="16"/>
                <w:szCs w:val="16"/>
                <w:shd w:val="clear" w:color="auto" w:fill="FFFFFF"/>
                <w:lang w:val="pt-BR" w:eastAsia="en-US"/>
              </w:rPr>
              <w:t>. Seguir com rigor a metodologia proposta para obtenção de resultados exatos. O princípio do teste deve ser da amostra que reage com o anticorpo-conjugado da dengue no dispositivo de teste. O anticorpo conjugado a ouro vai se ligar ao antígeno da dengue na amostra, que por sua vez irá se ligar ao anticorpo revestido anti-dengue NS1 na membrana. Como o reagente se move através da membrana, o anticorpo NS1 da dengue na membrana vai se ligar ao complexo anticorpo-antígeno, levando ao aparecimento de linha clara ou rosa escuro que se forma na região da linha de teste. A intensidade das linhas vai variar em função da quantidade de antígeno presente na amostra. O aparecimento da linha rosada na região de teste deve ser considerado como resultado positivo.</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Para servir como um procedimento de controle, uma linha colorida sempre aparecerá na região da linha de controle, indicando que um volume apropriado da amostra foi adicionado e que a absorção da membrana ocorreu.</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Os kits devem conter:</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 xml:space="preserve">• Dispositivos de teste </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 xml:space="preserve">• Conta-gotas </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 Diluente de amostra ( solução tampão)</w:t>
            </w:r>
          </w:p>
          <w:p>
            <w:pPr>
              <w:autoSpaceDE w:val="0"/>
              <w:autoSpaceDN w:val="0"/>
              <w:adjustRightInd w:val="0"/>
              <w:jc w:val="both"/>
              <w:rPr>
                <w:rFonts w:hint="default" w:ascii="Times New Roman" w:hAnsi="Times New Roman" w:cs="Times New Roman" w:eastAsiaTheme="minorEastAsia"/>
                <w:sz w:val="16"/>
                <w:szCs w:val="16"/>
                <w:shd w:val="clear" w:color="auto" w:fill="FFFFFF"/>
                <w:lang w:val="pt-BR" w:eastAsia="en-US"/>
              </w:rPr>
            </w:pPr>
            <w:r>
              <w:rPr>
                <w:rFonts w:hint="default" w:ascii="Times New Roman" w:hAnsi="Times New Roman" w:cs="Times New Roman" w:eastAsiaTheme="minorEastAsia"/>
                <w:sz w:val="16"/>
                <w:szCs w:val="16"/>
                <w:shd w:val="clear" w:color="auto" w:fill="FFFFFF"/>
                <w:lang w:val="pt-BR" w:eastAsia="en-US"/>
              </w:rPr>
              <w:t>• Instrução de uso</w:t>
            </w:r>
          </w:p>
        </w:tc>
        <w:tc>
          <w:tcPr>
            <w:tcW w:w="1244" w:type="dxa"/>
          </w:tcPr>
          <w:p>
            <w:pPr>
              <w:widowControl w:val="0"/>
              <w:suppressAutoHyphens/>
              <w:spacing w:after="120" w:line="276" w:lineRule="auto"/>
              <w:jc w:val="center"/>
              <w:rPr>
                <w:rFonts w:hint="default" w:ascii="Times New Roman" w:hAnsi="Times New Roman" w:cs="Times New Roman" w:eastAsiaTheme="minorEastAsia"/>
                <w:sz w:val="16"/>
                <w:szCs w:val="16"/>
                <w:lang w:val="pt-BR" w:eastAsia="en-US"/>
              </w:rPr>
            </w:pPr>
            <w:r>
              <w:rPr>
                <w:rFonts w:hint="default" w:ascii="Times New Roman" w:hAnsi="Times New Roman" w:cs="Times New Roman" w:eastAsiaTheme="minorEastAsia"/>
                <w:bCs/>
                <w:sz w:val="16"/>
                <w:szCs w:val="16"/>
                <w:shd w:val="clear" w:color="auto" w:fill="FFFFFF"/>
                <w:lang w:val="pt-BR" w:eastAsia="en-US"/>
              </w:rPr>
              <w:t>435854</w:t>
            </w:r>
          </w:p>
        </w:tc>
        <w:tc>
          <w:tcPr>
            <w:tcW w:w="1448" w:type="dxa"/>
          </w:tcPr>
          <w:p>
            <w:pPr>
              <w:widowControl w:val="0"/>
              <w:suppressAutoHyphens/>
              <w:spacing w:after="120" w:line="276" w:lineRule="auto"/>
              <w:jc w:val="center"/>
              <w:rPr>
                <w:rFonts w:hint="default" w:ascii="Times New Roman" w:hAnsi="Times New Roman" w:cs="Times New Roman" w:eastAsiaTheme="minorEastAsia"/>
                <w:sz w:val="16"/>
                <w:szCs w:val="16"/>
                <w:lang w:val="pt-BR" w:eastAsia="en-US"/>
              </w:rPr>
            </w:pPr>
            <w:r>
              <w:rPr>
                <w:rFonts w:hint="default" w:ascii="Times New Roman" w:hAnsi="Times New Roman" w:cs="Times New Roman" w:eastAsiaTheme="minorEastAsia"/>
                <w:sz w:val="16"/>
                <w:szCs w:val="16"/>
                <w:lang w:val="pt-BR" w:eastAsia="en-US"/>
              </w:rPr>
              <w:t>TESTE</w:t>
            </w:r>
          </w:p>
        </w:tc>
        <w:tc>
          <w:tcPr>
            <w:tcW w:w="1269" w:type="dxa"/>
          </w:tcPr>
          <w:p>
            <w:pPr>
              <w:widowControl w:val="0"/>
              <w:suppressAutoHyphens/>
              <w:spacing w:after="120" w:line="276" w:lineRule="auto"/>
              <w:jc w:val="center"/>
              <w:rPr>
                <w:rFonts w:hint="default" w:ascii="Times New Roman" w:hAnsi="Times New Roman" w:cs="Times New Roman" w:eastAsiaTheme="minorEastAsia"/>
                <w:sz w:val="16"/>
                <w:szCs w:val="16"/>
                <w:lang w:val="pt-BR" w:eastAsia="en-US"/>
              </w:rPr>
            </w:pPr>
            <w:r>
              <w:rPr>
                <w:rFonts w:hint="default" w:ascii="Times New Roman" w:hAnsi="Times New Roman" w:cs="Times New Roman" w:eastAsiaTheme="minorEastAsia"/>
                <w:sz w:val="16"/>
                <w:szCs w:val="16"/>
                <w:lang w:val="pt-BR" w:eastAsia="en-US"/>
              </w:rPr>
              <w:t>7.000</w:t>
            </w:r>
          </w:p>
        </w:tc>
      </w:tr>
    </w:tbl>
    <w:p>
      <w:pPr>
        <w:autoSpaceDE w:val="0"/>
        <w:autoSpaceDN w:val="0"/>
        <w:adjustRightInd w:val="0"/>
        <w:jc w:val="both"/>
        <w:rPr>
          <w:rFonts w:hint="default" w:ascii="Times New Roman" w:hAnsi="Times New Roman" w:cs="Times New Roman" w:eastAsiaTheme="minorHAnsi"/>
          <w:szCs w:val="20"/>
          <w:lang w:eastAsia="en-US"/>
        </w:rPr>
      </w:pPr>
    </w:p>
    <w:p>
      <w:pPr>
        <w:pStyle w:val="35"/>
        <w:spacing w:after="0"/>
        <w:rPr>
          <w:rFonts w:hint="default" w:ascii="Times New Roman" w:hAnsi="Times New Roman" w:cs="Times New Roman"/>
          <w:color w:val="auto"/>
        </w:rPr>
      </w:pPr>
      <w:r>
        <w:rPr>
          <w:rFonts w:hint="default" w:ascii="Times New Roman" w:hAnsi="Times New Roman" w:cs="Times New Roman"/>
          <w:color w:val="auto"/>
        </w:rPr>
        <w:t>JUSTIFICATIVA DO REGISTRO DE PREÇOS E OBJETIVO DA CONTRATAÇÃO</w:t>
      </w:r>
    </w:p>
    <w:p>
      <w:pPr>
        <w:rPr>
          <w:rFonts w:hint="default" w:ascii="Times New Roman" w:hAnsi="Times New Roman" w:cs="Times New Roman"/>
        </w:rPr>
      </w:pPr>
    </w:p>
    <w:p>
      <w:pPr>
        <w:numPr>
          <w:ilvl w:val="1"/>
          <w:numId w:val="2"/>
        </w:numPr>
        <w:tabs>
          <w:tab w:val="left" w:pos="1134"/>
        </w:tabs>
        <w:spacing w:line="276" w:lineRule="auto"/>
        <w:ind w:left="284" w:firstLine="0"/>
        <w:jc w:val="both"/>
        <w:rPr>
          <w:rFonts w:hint="default" w:ascii="Times New Roman" w:hAnsi="Times New Roman" w:cs="Times New Roman"/>
          <w:szCs w:val="20"/>
        </w:rPr>
      </w:pPr>
      <w:r>
        <w:rPr>
          <w:rFonts w:hint="default" w:ascii="Times New Roman" w:hAnsi="Times New Roman" w:cs="Times New Roman"/>
          <w:szCs w:val="20"/>
          <w:lang w:val="pt-BR"/>
        </w:rPr>
        <w:t>Devido ao aumento das chuvas em diversas regiões de nossa microrregião, é s</w:t>
      </w:r>
      <w:r>
        <w:rPr>
          <w:rFonts w:hint="default" w:ascii="Times New Roman" w:hAnsi="Times New Roman" w:cs="Times New Roman"/>
          <w:szCs w:val="20"/>
        </w:rPr>
        <w:t xml:space="preserve">abido que a </w:t>
      </w:r>
      <w:r>
        <w:rPr>
          <w:rFonts w:hint="default" w:ascii="Times New Roman" w:hAnsi="Times New Roman" w:cs="Times New Roman"/>
          <w:szCs w:val="20"/>
          <w:lang w:val="pt-BR"/>
        </w:rPr>
        <w:t>epidemia da DENGUE</w:t>
      </w:r>
      <w:r>
        <w:rPr>
          <w:rFonts w:hint="default" w:ascii="Times New Roman" w:hAnsi="Times New Roman" w:cs="Times New Roman"/>
          <w:szCs w:val="20"/>
        </w:rPr>
        <w:t xml:space="preserve"> vem assola</w:t>
      </w:r>
      <w:r>
        <w:rPr>
          <w:rFonts w:hint="default" w:ascii="Times New Roman" w:hAnsi="Times New Roman" w:cs="Times New Roman"/>
          <w:szCs w:val="20"/>
          <w:lang w:val="pt-BR"/>
        </w:rPr>
        <w:t>n</w:t>
      </w:r>
      <w:r>
        <w:rPr>
          <w:rFonts w:hint="default" w:ascii="Times New Roman" w:hAnsi="Times New Roman" w:cs="Times New Roman"/>
          <w:szCs w:val="20"/>
        </w:rPr>
        <w:t xml:space="preserve">do a população </w:t>
      </w:r>
      <w:r>
        <w:rPr>
          <w:rFonts w:hint="default" w:ascii="Times New Roman" w:hAnsi="Times New Roman" w:cs="Times New Roman"/>
          <w:szCs w:val="20"/>
          <w:lang w:val="pt-BR"/>
        </w:rPr>
        <w:t xml:space="preserve">local, </w:t>
      </w:r>
      <w:r>
        <w:rPr>
          <w:rFonts w:hint="default" w:ascii="Times New Roman" w:hAnsi="Times New Roman" w:cs="Times New Roman"/>
          <w:szCs w:val="20"/>
        </w:rPr>
        <w:t xml:space="preserve">desde </w:t>
      </w:r>
      <w:r>
        <w:rPr>
          <w:rFonts w:hint="default" w:ascii="Times New Roman" w:hAnsi="Times New Roman" w:cs="Times New Roman"/>
          <w:szCs w:val="20"/>
          <w:lang w:val="pt-BR"/>
        </w:rPr>
        <w:t>o início</w:t>
      </w:r>
      <w:r>
        <w:rPr>
          <w:rFonts w:hint="default" w:ascii="Times New Roman" w:hAnsi="Times New Roman" w:cs="Times New Roman"/>
          <w:szCs w:val="20"/>
        </w:rPr>
        <w:t xml:space="preserve"> do ano de 20</w:t>
      </w:r>
      <w:r>
        <w:rPr>
          <w:rFonts w:hint="default" w:ascii="Times New Roman" w:hAnsi="Times New Roman" w:cs="Times New Roman"/>
          <w:szCs w:val="20"/>
          <w:lang w:val="pt-BR"/>
        </w:rPr>
        <w:t>23</w:t>
      </w:r>
      <w:r>
        <w:rPr>
          <w:rFonts w:hint="default" w:ascii="Times New Roman" w:hAnsi="Times New Roman" w:cs="Times New Roman"/>
          <w:szCs w:val="20"/>
        </w:rPr>
        <w:t xml:space="preserve">. </w:t>
      </w:r>
      <w:r>
        <w:rPr>
          <w:rFonts w:hint="default" w:ascii="Times New Roman" w:hAnsi="Times New Roman" w:cs="Times New Roman"/>
          <w:szCs w:val="20"/>
          <w:lang w:val="pt-BR"/>
        </w:rPr>
        <w:t>C</w:t>
      </w:r>
      <w:r>
        <w:rPr>
          <w:rFonts w:hint="default" w:ascii="Times New Roman" w:hAnsi="Times New Roman" w:cs="Times New Roman"/>
          <w:szCs w:val="20"/>
        </w:rPr>
        <w:t xml:space="preserve">om isso, os órgãos públicos vem adotando medidas sanitárias necessárias ao combate </w:t>
      </w:r>
      <w:r>
        <w:rPr>
          <w:rFonts w:hint="default" w:ascii="Times New Roman" w:hAnsi="Times New Roman" w:cs="Times New Roman"/>
          <w:szCs w:val="20"/>
          <w:lang w:val="pt-BR"/>
        </w:rPr>
        <w:t>do mosquito causador da doença. Entretanto, os casos suspeitos devem ser detectados para um possível tratamento, a fim de evitar um agravante, causado principalmente pela dengue hemorrágica que com tratamento prévio evita diversas complicações.</w:t>
      </w:r>
      <w:r>
        <w:rPr>
          <w:rFonts w:hint="default" w:ascii="Times New Roman" w:hAnsi="Times New Roman" w:cs="Times New Roman"/>
          <w:szCs w:val="20"/>
        </w:rPr>
        <w:t xml:space="preserve"> </w:t>
      </w:r>
      <w:r>
        <w:rPr>
          <w:rFonts w:hint="default" w:ascii="Times New Roman" w:hAnsi="Times New Roman" w:cs="Times New Roman"/>
          <w:szCs w:val="20"/>
          <w:lang w:val="pt-BR"/>
        </w:rPr>
        <w:t>E para essa detecção precoce, é necessária a aquisição de testes rápidos de metodologia imunocromatográficas que detecta de forma qualitativa o antígeno NS1 do vírus da dengue em amostras humanas, entre o 1°e 4° dia após o início dos sintomas. Nesse cenário e, considerando a previsão do art. 112 da Lei 8.666/93 que permite a rea</w:t>
      </w:r>
      <w:r>
        <w:rPr>
          <w:rFonts w:hint="default" w:ascii="Times New Roman" w:hAnsi="Times New Roman" w:cs="Times New Roman"/>
          <w:szCs w:val="20"/>
        </w:rPr>
        <w:t>lização de compras compartilhadas, os municípios que compõem o CISMIV, vislumbraram a possibilidade de compra dos insumos nessa modalidade para atender as demandas de insumos de seus respectivos municípios, de acordo com a planilha do item 2.</w:t>
      </w:r>
      <w:r>
        <w:rPr>
          <w:rFonts w:hint="default" w:ascii="Times New Roman" w:hAnsi="Times New Roman" w:cs="Times New Roman"/>
          <w:szCs w:val="20"/>
          <w:lang w:val="pt-BR"/>
        </w:rPr>
        <w:t>8</w:t>
      </w:r>
      <w:r>
        <w:rPr>
          <w:rFonts w:hint="default" w:ascii="Times New Roman" w:hAnsi="Times New Roman" w:cs="Times New Roman"/>
          <w:szCs w:val="20"/>
        </w:rPr>
        <w:t xml:space="preserve">. Em razão disso é que se justifica a presente abertura de processo licitatório. </w:t>
      </w:r>
    </w:p>
    <w:p>
      <w:pPr>
        <w:numPr>
          <w:ilvl w:val="1"/>
          <w:numId w:val="2"/>
        </w:numPr>
        <w:spacing w:line="276" w:lineRule="auto"/>
        <w:ind w:left="284" w:firstLine="0"/>
        <w:jc w:val="both"/>
        <w:rPr>
          <w:rFonts w:hint="default" w:ascii="Times New Roman" w:hAnsi="Times New Roman" w:cs="Times New Roman"/>
          <w:szCs w:val="20"/>
        </w:rPr>
      </w:pPr>
      <w:r>
        <w:rPr>
          <w:rFonts w:hint="default" w:ascii="Times New Roman" w:hAnsi="Times New Roman" w:cs="Times New Roman"/>
          <w:szCs w:val="20"/>
        </w:rPr>
        <w:t>Justifica-se a adoção da licitação pelo Sistema de Registro de Preços, com amparo legal do Decreto nº 7892 de 23 de janeiro de 2013, considerando que a aquisição ora mencionada atenderá a mais de um órgão. Ademais</w:t>
      </w:r>
      <w:r>
        <w:rPr>
          <w:rFonts w:hint="default" w:ascii="Times New Roman" w:hAnsi="Times New Roman" w:cs="Times New Roman"/>
          <w:szCs w:val="20"/>
        </w:rPr>
        <w:t xml:space="preserve">, a licitação compartilhada terá repercussões diretas no preço final e na qualidade dos                                                                                                                                 insumos, impactando nos gastos dos Municípios com a saúde pública. </w:t>
      </w:r>
    </w:p>
    <w:p>
      <w:pPr>
        <w:numPr>
          <w:ilvl w:val="1"/>
          <w:numId w:val="2"/>
        </w:numPr>
        <w:spacing w:line="276" w:lineRule="auto"/>
        <w:ind w:left="284" w:firstLine="0"/>
        <w:jc w:val="both"/>
        <w:rPr>
          <w:rFonts w:hint="default" w:ascii="Times New Roman" w:hAnsi="Times New Roman" w:cs="Times New Roman"/>
          <w:szCs w:val="20"/>
        </w:rPr>
      </w:pPr>
      <w:r>
        <w:rPr>
          <w:rFonts w:hint="default" w:ascii="Times New Roman" w:hAnsi="Times New Roman" w:cs="Times New Roman"/>
          <w:szCs w:val="20"/>
        </w:rPr>
        <w:t xml:space="preserve">A licitação será regida na forma da Lei 8.666/93 com suas posteriores alterações. Fundamenta-se, ainda, o presente certame no art. 112, §1º da Lei 8666/93, uma vez que, em relação ao objeto em questão, foi apresentada demanda de aquisição pelos municípios. Além disso, o entendimento é que, uma aquisição realizada de forma compartilhada, é de interesse público na medida em que prima pelos princípios da eficiência e economicidade. </w:t>
      </w:r>
    </w:p>
    <w:p>
      <w:pPr>
        <w:numPr>
          <w:ilvl w:val="1"/>
          <w:numId w:val="2"/>
        </w:numPr>
        <w:spacing w:line="276" w:lineRule="auto"/>
        <w:ind w:left="284" w:firstLine="0"/>
        <w:jc w:val="both"/>
        <w:rPr>
          <w:rFonts w:hint="default" w:ascii="Times New Roman" w:hAnsi="Times New Roman" w:cs="Times New Roman"/>
          <w:strike/>
          <w:szCs w:val="20"/>
        </w:rPr>
      </w:pPr>
      <w:r>
        <w:rPr>
          <w:rFonts w:hint="default" w:ascii="Times New Roman" w:hAnsi="Times New Roman" w:cs="Times New Roman"/>
          <w:szCs w:val="20"/>
        </w:rPr>
        <w:t xml:space="preserve">Os descritivos utilizados foram extraídos do Catálogo do Painel de Compras do Governo, visando uniformizar o objeto conforme outras compras realizadas pela Administração Pública. </w:t>
      </w:r>
    </w:p>
    <w:p>
      <w:pPr>
        <w:numPr>
          <w:ilvl w:val="1"/>
          <w:numId w:val="2"/>
        </w:numPr>
        <w:spacing w:line="276" w:lineRule="auto"/>
        <w:ind w:left="284" w:firstLine="0"/>
        <w:jc w:val="both"/>
        <w:rPr>
          <w:rFonts w:hint="default" w:ascii="Times New Roman" w:hAnsi="Times New Roman" w:cs="Times New Roman"/>
          <w:szCs w:val="20"/>
        </w:rPr>
      </w:pPr>
      <w:r>
        <w:rPr>
          <w:rFonts w:hint="default" w:ascii="Times New Roman" w:hAnsi="Times New Roman" w:cs="Times New Roman"/>
          <w:szCs w:val="20"/>
        </w:rPr>
        <w:t>Quantidade estimada para cada município foi baseada no índice populacional e</w:t>
      </w:r>
      <w:r>
        <w:rPr>
          <w:rFonts w:hint="default" w:ascii="Times New Roman" w:hAnsi="Times New Roman" w:cs="Times New Roman"/>
          <w:szCs w:val="20"/>
          <w:lang w:val="pt-BR"/>
        </w:rPr>
        <w:t xml:space="preserve"> </w:t>
      </w:r>
      <w:r>
        <w:rPr>
          <w:rFonts w:hint="default" w:ascii="Times New Roman" w:hAnsi="Times New Roman" w:cs="Times New Roman"/>
          <w:szCs w:val="20"/>
        </w:rPr>
        <w:t xml:space="preserve">no </w:t>
      </w:r>
      <w:r>
        <w:rPr>
          <w:rFonts w:hint="default" w:ascii="Times New Roman" w:hAnsi="Times New Roman" w:cs="Times New Roman"/>
          <w:szCs w:val="20"/>
          <w:lang w:val="pt-BR"/>
        </w:rPr>
        <w:t xml:space="preserve">número de casos médios registrados </w:t>
      </w:r>
      <w:r>
        <w:rPr>
          <w:rFonts w:hint="default" w:ascii="Times New Roman" w:hAnsi="Times New Roman" w:cs="Times New Roman"/>
          <w:szCs w:val="20"/>
        </w:rPr>
        <w:t xml:space="preserve">durante o </w:t>
      </w:r>
      <w:r>
        <w:rPr>
          <w:rFonts w:hint="default" w:ascii="Times New Roman" w:hAnsi="Times New Roman" w:cs="Times New Roman"/>
          <w:szCs w:val="20"/>
          <w:lang w:val="pt-BR"/>
        </w:rPr>
        <w:t xml:space="preserve">início do </w:t>
      </w:r>
      <w:r>
        <w:rPr>
          <w:rFonts w:hint="default" w:ascii="Times New Roman" w:hAnsi="Times New Roman" w:cs="Times New Roman"/>
          <w:szCs w:val="20"/>
        </w:rPr>
        <w:t>ano de 202</w:t>
      </w:r>
      <w:r>
        <w:rPr>
          <w:rFonts w:hint="default" w:ascii="Times New Roman" w:hAnsi="Times New Roman" w:cs="Times New Roman"/>
          <w:szCs w:val="20"/>
          <w:lang w:val="pt-BR"/>
        </w:rPr>
        <w:t>3</w:t>
      </w:r>
      <w:r>
        <w:rPr>
          <w:rFonts w:hint="default" w:ascii="Times New Roman" w:hAnsi="Times New Roman" w:cs="Times New Roman"/>
          <w:szCs w:val="20"/>
        </w:rPr>
        <w:t xml:space="preserve">. Assim, a estimativa dos quantitativos considerou os dois paradigmas, conforme tabela abaixo:  </w:t>
      </w:r>
    </w:p>
    <w:tbl>
      <w:tblPr>
        <w:tblStyle w:val="20"/>
        <w:tblpPr w:leftFromText="180" w:rightFromText="180" w:vertAnchor="text" w:horzAnchor="page" w:tblpX="315" w:tblpY="407"/>
        <w:tblOverlap w:val="never"/>
        <w:tblW w:w="11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997"/>
        <w:gridCol w:w="997"/>
        <w:gridCol w:w="1115"/>
        <w:gridCol w:w="997"/>
        <w:gridCol w:w="1207"/>
        <w:gridCol w:w="997"/>
        <w:gridCol w:w="1113"/>
        <w:gridCol w:w="997"/>
        <w:gridCol w:w="1322"/>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1513" w:type="dxa"/>
            <w:gridSpan w:val="11"/>
            <w:shd w:val="clear" w:color="auto" w:fill="EEECE1" w:themeFill="background2"/>
            <w:noWrap/>
          </w:tcPr>
          <w:p>
            <w:pPr>
              <w:jc w:val="center"/>
              <w:rPr>
                <w:rFonts w:hint="default" w:ascii="Times New Roman" w:hAnsi="Times New Roman" w:cs="Times New Roman" w:eastAsiaTheme="minorEastAsia"/>
                <w:b/>
                <w:bCs/>
                <w:sz w:val="18"/>
                <w:szCs w:val="22"/>
                <w:lang w:val="pt-BR" w:eastAsia="en-US"/>
              </w:rPr>
            </w:pPr>
            <w:r>
              <w:rPr>
                <w:rFonts w:hint="default" w:ascii="Times New Roman" w:hAnsi="Times New Roman" w:cs="Times New Roman" w:eastAsiaTheme="minorEastAsia"/>
                <w:b/>
                <w:bCs/>
                <w:sz w:val="18"/>
                <w:szCs w:val="22"/>
                <w:lang w:eastAsia="en-US"/>
              </w:rPr>
              <w:t>QUANTITATIVO POR MUNICÍPIO</w:t>
            </w:r>
            <w:r>
              <w:rPr>
                <w:rFonts w:hint="default" w:ascii="Times New Roman" w:hAnsi="Times New Roman" w:cs="Times New Roman" w:eastAsiaTheme="minorEastAsia"/>
                <w:b/>
                <w:bCs/>
                <w:sz w:val="18"/>
                <w:szCs w:val="22"/>
                <w:lang w:val="pt-BR" w:eastAsia="en-US"/>
              </w:rPr>
              <w:t xml:space="preserve"> ( NÚMERO DE TESTES)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8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ITEM</w:t>
            </w:r>
          </w:p>
        </w:tc>
        <w:tc>
          <w:tcPr>
            <w:tcW w:w="99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PEDRA ANTA</w:t>
            </w:r>
          </w:p>
        </w:tc>
        <w:tc>
          <w:tcPr>
            <w:tcW w:w="99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PORTO</w:t>
            </w:r>
          </w:p>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FIRME</w:t>
            </w:r>
          </w:p>
        </w:tc>
        <w:tc>
          <w:tcPr>
            <w:tcW w:w="1115"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COIMBRA</w:t>
            </w:r>
          </w:p>
        </w:tc>
        <w:tc>
          <w:tcPr>
            <w:tcW w:w="99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CAJURI</w:t>
            </w:r>
          </w:p>
        </w:tc>
        <w:tc>
          <w:tcPr>
            <w:tcW w:w="1098" w:type="dxa"/>
            <w:noWrap/>
          </w:tcPr>
          <w:p>
            <w:pPr>
              <w:jc w:val="center"/>
              <w:rPr>
                <w:rFonts w:hint="default" w:ascii="Times New Roman" w:hAnsi="Times New Roman" w:cs="Times New Roman" w:eastAsiaTheme="minorEastAsia"/>
                <w:b/>
                <w:bCs/>
                <w:sz w:val="18"/>
                <w:szCs w:val="22"/>
                <w:lang w:val="pt-BR" w:eastAsia="en-US"/>
              </w:rPr>
            </w:pPr>
            <w:r>
              <w:rPr>
                <w:rFonts w:hint="default" w:ascii="Times New Roman" w:hAnsi="Times New Roman" w:cs="Times New Roman" w:eastAsiaTheme="minorEastAsia"/>
                <w:b/>
                <w:bCs/>
                <w:sz w:val="18"/>
                <w:szCs w:val="22"/>
                <w:lang w:eastAsia="en-US"/>
              </w:rPr>
              <w:t>TEIXEIRA</w:t>
            </w:r>
            <w:r>
              <w:rPr>
                <w:rFonts w:hint="default" w:ascii="Times New Roman" w:hAnsi="Times New Roman" w:cs="Times New Roman" w:eastAsiaTheme="minorEastAsia"/>
                <w:b/>
                <w:bCs/>
                <w:sz w:val="18"/>
                <w:szCs w:val="22"/>
                <w:lang w:val="pt-BR" w:eastAsia="en-US"/>
              </w:rPr>
              <w:t>S</w:t>
            </w:r>
          </w:p>
        </w:tc>
        <w:tc>
          <w:tcPr>
            <w:tcW w:w="99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SÃO</w:t>
            </w:r>
          </w:p>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MIGUEL</w:t>
            </w:r>
          </w:p>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DO ANTA</w:t>
            </w:r>
          </w:p>
        </w:tc>
        <w:tc>
          <w:tcPr>
            <w:tcW w:w="1113"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PAULA</w:t>
            </w:r>
          </w:p>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CANDIDO</w:t>
            </w:r>
          </w:p>
        </w:tc>
        <w:tc>
          <w:tcPr>
            <w:tcW w:w="997"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CANAÃ</w:t>
            </w:r>
          </w:p>
        </w:tc>
        <w:tc>
          <w:tcPr>
            <w:tcW w:w="1322" w:type="dxa"/>
            <w:noWrap/>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ARAPONGA</w:t>
            </w:r>
          </w:p>
        </w:tc>
        <w:tc>
          <w:tcPr>
            <w:tcW w:w="1193" w:type="dxa"/>
          </w:tcPr>
          <w:p>
            <w:pPr>
              <w:jc w:val="center"/>
              <w:rPr>
                <w:rFonts w:hint="default" w:ascii="Times New Roman" w:hAnsi="Times New Roman" w:cs="Times New Roman" w:eastAsiaTheme="minorEastAsia"/>
                <w:b/>
                <w:bCs/>
                <w:sz w:val="18"/>
                <w:szCs w:val="22"/>
                <w:lang w:eastAsia="en-US"/>
              </w:rPr>
            </w:pPr>
            <w:r>
              <w:rPr>
                <w:rFonts w:hint="default" w:ascii="Times New Roman" w:hAnsi="Times New Roman" w:cs="Times New Roman" w:eastAsiaTheme="minorEastAsia"/>
                <w:b/>
                <w:bCs/>
                <w:sz w:val="18"/>
                <w:szCs w:val="22"/>
                <w:lang w:eastAsia="en-US"/>
              </w:rPr>
              <w:t>VIÇOSA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87" w:type="dxa"/>
            <w:noWrap/>
          </w:tcPr>
          <w:p>
            <w:pPr>
              <w:rPr>
                <w:rFonts w:hint="default" w:ascii="Times New Roman" w:hAnsi="Times New Roman" w:cs="Times New Roman" w:eastAsiaTheme="minorEastAsia"/>
                <w:lang w:eastAsia="en-US"/>
              </w:rPr>
            </w:pPr>
            <w:r>
              <w:rPr>
                <w:rFonts w:hint="default" w:ascii="Times New Roman" w:hAnsi="Times New Roman" w:cs="Times New Roman" w:eastAsiaTheme="minorEastAsia"/>
                <w:lang w:eastAsia="en-US"/>
              </w:rPr>
              <w:t>1</w:t>
            </w:r>
          </w:p>
        </w:tc>
        <w:tc>
          <w:tcPr>
            <w:tcW w:w="997"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300</w:t>
            </w:r>
          </w:p>
        </w:tc>
        <w:tc>
          <w:tcPr>
            <w:tcW w:w="997"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300</w:t>
            </w:r>
          </w:p>
        </w:tc>
        <w:tc>
          <w:tcPr>
            <w:tcW w:w="1115"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75</w:t>
            </w:r>
          </w:p>
        </w:tc>
        <w:tc>
          <w:tcPr>
            <w:tcW w:w="997"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50</w:t>
            </w:r>
          </w:p>
        </w:tc>
        <w:tc>
          <w:tcPr>
            <w:tcW w:w="1098"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1.000</w:t>
            </w:r>
          </w:p>
        </w:tc>
        <w:tc>
          <w:tcPr>
            <w:tcW w:w="997"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50</w:t>
            </w:r>
          </w:p>
        </w:tc>
        <w:tc>
          <w:tcPr>
            <w:tcW w:w="1113"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50</w:t>
            </w:r>
          </w:p>
        </w:tc>
        <w:tc>
          <w:tcPr>
            <w:tcW w:w="997"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50</w:t>
            </w:r>
          </w:p>
        </w:tc>
        <w:tc>
          <w:tcPr>
            <w:tcW w:w="1322" w:type="dxa"/>
            <w:noWrap/>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125</w:t>
            </w:r>
          </w:p>
        </w:tc>
        <w:tc>
          <w:tcPr>
            <w:tcW w:w="1193" w:type="dxa"/>
          </w:tcPr>
          <w:p>
            <w:pPr>
              <w:jc w:val="center"/>
              <w:rPr>
                <w:rFonts w:hint="default" w:ascii="Times New Roman" w:hAnsi="Times New Roman" w:cs="Times New Roman" w:eastAsiaTheme="minorEastAsia"/>
                <w:lang w:val="pt-BR" w:eastAsia="en-US"/>
              </w:rPr>
            </w:pPr>
            <w:r>
              <w:rPr>
                <w:rFonts w:hint="default" w:ascii="Times New Roman" w:hAnsi="Times New Roman" w:cs="Times New Roman" w:eastAsiaTheme="minorEastAsia"/>
                <w:lang w:val="pt-BR" w:eastAsia="en-US"/>
              </w:rPr>
              <w:t>5.000</w:t>
            </w:r>
          </w:p>
        </w:tc>
      </w:tr>
    </w:tbl>
    <w:p>
      <w:pPr>
        <w:spacing w:line="276" w:lineRule="auto"/>
        <w:ind w:left="284"/>
        <w:jc w:val="both"/>
        <w:rPr>
          <w:rFonts w:hint="default" w:ascii="Times New Roman" w:hAnsi="Times New Roman" w:cs="Times New Roman"/>
          <w:szCs w:val="20"/>
        </w:rPr>
      </w:pPr>
    </w:p>
    <w:p>
      <w:pPr>
        <w:spacing w:line="276" w:lineRule="auto"/>
        <w:jc w:val="both"/>
        <w:rPr>
          <w:rFonts w:hint="default" w:ascii="Times New Roman" w:hAnsi="Times New Roman" w:cs="Times New Roman"/>
          <w:szCs w:val="20"/>
          <w:lang w:val="pt-BR"/>
        </w:rPr>
      </w:pPr>
      <w:r>
        <w:rPr>
          <w:rFonts w:hint="default" w:ascii="Times New Roman" w:hAnsi="Times New Roman" w:cs="Times New Roman"/>
          <w:szCs w:val="20"/>
          <w:lang w:val="pt-BR"/>
        </w:rPr>
        <w:t xml:space="preserve">OBS: Na possibilidade de requisição de testes por todos os municípios, foi utilizado o quantitativo estimado previamente.  </w:t>
      </w:r>
    </w:p>
    <w:p>
      <w:pPr>
        <w:spacing w:line="276" w:lineRule="auto"/>
        <w:jc w:val="both"/>
        <w:rPr>
          <w:rFonts w:hint="default" w:ascii="Times New Roman" w:hAnsi="Times New Roman" w:cs="Times New Roman"/>
          <w:szCs w:val="20"/>
          <w:lang w:val="pt-BR"/>
        </w:rPr>
      </w:pPr>
    </w:p>
    <w:p>
      <w:pPr>
        <w:pStyle w:val="35"/>
        <w:spacing w:before="0" w:after="0" w:line="240" w:lineRule="auto"/>
        <w:rPr>
          <w:rFonts w:hint="default" w:ascii="Times New Roman" w:hAnsi="Times New Roman" w:cs="Times New Roman"/>
          <w:color w:val="auto"/>
        </w:rPr>
      </w:pPr>
      <w:r>
        <w:rPr>
          <w:rFonts w:hint="default" w:ascii="Times New Roman" w:hAnsi="Times New Roman" w:cs="Times New Roman"/>
          <w:color w:val="auto"/>
        </w:rPr>
        <w:t xml:space="preserve">CLASSIFICAÇÃO DOS BENS COMUNS </w:t>
      </w:r>
    </w:p>
    <w:p>
      <w:pPr>
        <w:rPr>
          <w:rFonts w:hint="default" w:ascii="Times New Roman" w:hAnsi="Times New Roman" w:cs="Times New Roman"/>
          <w:szCs w:val="20"/>
        </w:rPr>
      </w:pPr>
    </w:p>
    <w:p>
      <w:pPr>
        <w:numPr>
          <w:ilvl w:val="1"/>
          <w:numId w:val="2"/>
        </w:numPr>
        <w:spacing w:line="276" w:lineRule="auto"/>
        <w:ind w:left="425" w:firstLine="0"/>
        <w:jc w:val="both"/>
        <w:rPr>
          <w:rFonts w:hint="default" w:ascii="Times New Roman" w:hAnsi="Times New Roman" w:cs="Times New Roman"/>
          <w:szCs w:val="20"/>
        </w:rPr>
      </w:pPr>
      <w:r>
        <w:rPr>
          <w:rFonts w:hint="default" w:ascii="Times New Roman" w:hAnsi="Times New Roman" w:cs="Times New Roman"/>
          <w:szCs w:val="20"/>
        </w:rPr>
        <w:t xml:space="preserve">Fica registrado que os itens que se pretende registrar preços </w:t>
      </w:r>
      <w:r>
        <w:rPr>
          <w:rFonts w:hint="default" w:ascii="Times New Roman" w:hAnsi="Times New Roman" w:eastAsia="Calibri" w:cs="Times New Roman"/>
          <w:iCs/>
          <w:szCs w:val="20"/>
          <w:lang w:eastAsia="en-US"/>
        </w:rPr>
        <w:t>especificados no item 1.5 deste Termo de Referência, são de natureza comum por manterem p</w:t>
      </w:r>
      <w:r>
        <w:rPr>
          <w:rFonts w:hint="default" w:ascii="Times New Roman" w:hAnsi="Times New Roman" w:cs="Times New Roman"/>
          <w:szCs w:val="20"/>
          <w:shd w:val="clear" w:color="auto" w:fill="FFFFFF"/>
        </w:rPr>
        <w:t>adrões de desempenho e qualidade objetivamente definidos neste Termo de Referência, e por conter especificações usuais de mercado.</w:t>
      </w:r>
    </w:p>
    <w:p>
      <w:pPr>
        <w:spacing w:line="276" w:lineRule="auto"/>
        <w:ind w:left="425"/>
        <w:jc w:val="both"/>
        <w:rPr>
          <w:rFonts w:hint="default" w:ascii="Times New Roman" w:hAnsi="Times New Roman" w:cs="Times New Roman"/>
          <w:szCs w:val="20"/>
        </w:rPr>
      </w:pPr>
    </w:p>
    <w:p>
      <w:pPr>
        <w:pStyle w:val="35"/>
        <w:spacing w:before="0" w:after="0"/>
        <w:rPr>
          <w:rFonts w:hint="default" w:ascii="Times New Roman" w:hAnsi="Times New Roman" w:cs="Times New Roman"/>
          <w:color w:val="auto"/>
        </w:rPr>
      </w:pPr>
      <w:r>
        <w:rPr>
          <w:rFonts w:hint="default" w:ascii="Times New Roman" w:hAnsi="Times New Roman" w:cs="Times New Roman"/>
          <w:color w:val="auto"/>
        </w:rPr>
        <w:t>ENTREGA E CRITÉRIOS DE ACEITAÇÃO DO OBJETO.</w:t>
      </w:r>
    </w:p>
    <w:p>
      <w:pPr>
        <w:pStyle w:val="21"/>
        <w:numPr>
          <w:ilvl w:val="1"/>
          <w:numId w:val="2"/>
        </w:numPr>
        <w:spacing w:before="120" w:after="120" w:line="276" w:lineRule="auto"/>
        <w:jc w:val="both"/>
        <w:rPr>
          <w:rFonts w:hint="default" w:ascii="Times New Roman" w:hAnsi="Times New Roman" w:cs="Times New Roman"/>
          <w:iCs/>
          <w:szCs w:val="20"/>
        </w:rPr>
      </w:pPr>
      <w:r>
        <w:rPr>
          <w:rFonts w:hint="default" w:ascii="Times New Roman" w:hAnsi="Times New Roman" w:cs="Times New Roman"/>
          <w:iCs/>
          <w:szCs w:val="20"/>
        </w:rPr>
        <w:t>O prazo de entrega dos bens é de 10 (dez) dias uteis contados do recebimento da Ordem de Fornecimento ou Pedido de Compra, a ser enviada por e-mail, no seguinte endereço: Rua Jos</w:t>
      </w:r>
      <w:r>
        <w:rPr>
          <w:rFonts w:hint="default" w:ascii="Times New Roman" w:hAnsi="Times New Roman" w:cs="Times New Roman"/>
          <w:iCs/>
          <w:szCs w:val="20"/>
          <w:lang w:val="pt-BR"/>
        </w:rPr>
        <w:t>é</w:t>
      </w:r>
      <w:r>
        <w:rPr>
          <w:rFonts w:hint="default" w:ascii="Times New Roman" w:hAnsi="Times New Roman" w:cs="Times New Roman"/>
          <w:iCs/>
          <w:szCs w:val="20"/>
        </w:rPr>
        <w:t xml:space="preserve"> dos Santos, nº 120, Bairro: Centro, em Viçosa-MG</w:t>
      </w:r>
      <w:r>
        <w:rPr>
          <w:rFonts w:hint="default" w:ascii="Times New Roman" w:hAnsi="Times New Roman" w:cs="Times New Roman"/>
          <w:iCs/>
          <w:szCs w:val="20"/>
          <w:lang w:val="pt-BR"/>
        </w:rPr>
        <w:t>, CEP 36570-000</w:t>
      </w:r>
      <w:r>
        <w:rPr>
          <w:rFonts w:hint="default" w:ascii="Times New Roman" w:hAnsi="Times New Roman" w:cs="Times New Roman"/>
          <w:iCs/>
          <w:szCs w:val="20"/>
        </w:rPr>
        <w:t>. Nos casos em que a contratação for realizada diretamente com os municípios, deverão ser observados os endereços seguintes: Município de Araponga, R. Romualdo J de Lima, 2 - Centro, Prefeitura Municipal de Araponga - MG, 36594-000; Prefeitura Municipal dede Cajuri, R. Cap. José Mafra, Cajuri - MG, 36560-000; Prefeitura Municipal de Canaã, Praça Arthur Bernardes, 82 - Centro, Canaã - MG, 36592-000; Prefeitura Municipal de Coimbra, R. Álvaro Barros, 17, Coimbra - MG, 36550-000; Prefeitura Municipal de Paula Cândido, R. Monsenhor Lisboa, 251 - Centro, Paula Cândido - MG, 36544-000, Prefeitura Municipal de Pedra do Anta, Rua São Vicente, n° 50, Centro, Pedra do Anta/MG; Prefeitura Municipal de Porto Firme, Av. 18 de Agosto, Porto Firme - MG, 36576-000; Prefeitura Municipal de Rua São Miguel do Anta, Rua Jos</w:t>
      </w:r>
      <w:r>
        <w:rPr>
          <w:rFonts w:hint="default" w:ascii="Times New Roman" w:hAnsi="Times New Roman" w:cs="Times New Roman"/>
          <w:iCs/>
          <w:szCs w:val="20"/>
          <w:lang w:val="pt-BR"/>
        </w:rPr>
        <w:t>é</w:t>
      </w:r>
      <w:r>
        <w:rPr>
          <w:rFonts w:hint="default" w:ascii="Times New Roman" w:hAnsi="Times New Roman" w:cs="Times New Roman"/>
          <w:iCs/>
          <w:szCs w:val="20"/>
        </w:rPr>
        <w:t xml:space="preserve"> afro de Miranda - Centro, São Miguel do Anta - MG, 36590-000; Prefeitura Municipal de Teixeiras, Rua Antônio Moreira Barros, 101, Teixeiras - MG, 36580-000 e Prefeitura Municipal de Viçosa, R. Gomes Barbosa, 803 - Centro, Viçosa - MG, 36570-000. </w:t>
      </w:r>
    </w:p>
    <w:p>
      <w:pPr>
        <w:pStyle w:val="21"/>
        <w:numPr>
          <w:ilvl w:val="1"/>
          <w:numId w:val="2"/>
        </w:numPr>
        <w:spacing w:before="120" w:after="120" w:line="276" w:lineRule="auto"/>
        <w:jc w:val="both"/>
        <w:rPr>
          <w:rFonts w:hint="default" w:ascii="Times New Roman" w:hAnsi="Times New Roman" w:cs="Times New Roman"/>
          <w:iCs/>
          <w:szCs w:val="20"/>
        </w:rPr>
      </w:pPr>
      <w:r>
        <w:rPr>
          <w:rFonts w:hint="default" w:ascii="Times New Roman" w:hAnsi="Times New Roman" w:cs="Times New Roman"/>
          <w:iCs/>
          <w:szCs w:val="20"/>
        </w:rPr>
        <w:t xml:space="preserve">O horário de entrega tanto no CISMIV quanto nos municípios deverá ser realizado 08 horas e 11 horas e 13 horas e 17 horas, na sede do CISMIV ou dos municípios. </w:t>
      </w:r>
    </w:p>
    <w:p>
      <w:pPr>
        <w:numPr>
          <w:ilvl w:val="1"/>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 xml:space="preserve">Os bens serão recebidos provisoriamente no prazo de até 10 (dez) dias </w:t>
      </w:r>
      <w:r>
        <w:rPr>
          <w:rFonts w:hint="default" w:ascii="Times New Roman" w:hAnsi="Times New Roman" w:cs="Times New Roman"/>
          <w:szCs w:val="20"/>
          <w:lang w:val="pt-BR"/>
        </w:rPr>
        <w:t>ú</w:t>
      </w:r>
      <w:r>
        <w:rPr>
          <w:rFonts w:hint="default" w:ascii="Times New Roman" w:hAnsi="Times New Roman" w:cs="Times New Roman"/>
          <w:szCs w:val="20"/>
        </w:rPr>
        <w:t xml:space="preserve">teis, pelo </w:t>
      </w:r>
      <w:r>
        <w:rPr>
          <w:rFonts w:hint="default" w:ascii="Times New Roman" w:hAnsi="Times New Roman" w:cs="Times New Roman"/>
          <w:iCs/>
          <w:szCs w:val="20"/>
        </w:rPr>
        <w:t>responsável</w:t>
      </w:r>
      <w:r>
        <w:rPr>
          <w:rFonts w:hint="default" w:ascii="Times New Roman" w:hAnsi="Times New Roman" w:cs="Times New Roman"/>
          <w:szCs w:val="20"/>
        </w:rPr>
        <w:t xml:space="preserve"> pelo acompanhamento e fiscalização do contrato, para efeito de posterior verificação de sua conformidade com as especificações constantes neste Termo de Referência e na proposta. </w:t>
      </w:r>
    </w:p>
    <w:p>
      <w:pPr>
        <w:numPr>
          <w:ilvl w:val="1"/>
          <w:numId w:val="2"/>
        </w:numPr>
        <w:spacing w:before="120" w:after="120" w:line="276" w:lineRule="auto"/>
        <w:ind w:left="425" w:firstLine="0"/>
        <w:jc w:val="both"/>
        <w:rPr>
          <w:rFonts w:hint="default" w:ascii="Times New Roman" w:hAnsi="Times New Roman" w:cs="Times New Roman"/>
          <w:bCs/>
          <w:szCs w:val="20"/>
        </w:rPr>
      </w:pPr>
      <w:r>
        <w:rPr>
          <w:rFonts w:hint="default" w:ascii="Times New Roman" w:hAnsi="Times New Roman" w:cs="Times New Roman"/>
          <w:bCs/>
          <w:szCs w:val="20"/>
        </w:rPr>
        <w:t>Os bens poderão ser rejeitados, no todo ou em parte, quando em desacordo com as especificações constantes neste Termo de Referência e na proposta, devendo ser substituídos no prazo de 05 (cinco) dias úteis, a contar da notificação da contratada, às suas custas, sem prejuízo da aplicação das penalidades.</w:t>
      </w:r>
    </w:p>
    <w:p>
      <w:pPr>
        <w:numPr>
          <w:ilvl w:val="1"/>
          <w:numId w:val="2"/>
        </w:numPr>
        <w:spacing w:before="120" w:after="120" w:line="276" w:lineRule="auto"/>
        <w:ind w:left="425" w:firstLine="0"/>
        <w:jc w:val="both"/>
        <w:rPr>
          <w:rFonts w:hint="default" w:ascii="Times New Roman" w:hAnsi="Times New Roman" w:cs="Times New Roman"/>
          <w:bCs/>
          <w:szCs w:val="20"/>
        </w:rPr>
      </w:pPr>
      <w:r>
        <w:rPr>
          <w:rFonts w:hint="default" w:ascii="Times New Roman" w:hAnsi="Times New Roman" w:cs="Times New Roman"/>
          <w:szCs w:val="20"/>
        </w:rPr>
        <w:t xml:space="preserve">Os bens serão recebidos definitivamente no prazo de até 10 (dez) dias corridos, contados do recebimento provisório, após a verificação da qualidade e quantidade do material e consequente aceitação. </w:t>
      </w:r>
    </w:p>
    <w:p>
      <w:pPr>
        <w:numPr>
          <w:ilvl w:val="2"/>
          <w:numId w:val="2"/>
        </w:numPr>
        <w:spacing w:before="120" w:after="120" w:line="276" w:lineRule="auto"/>
        <w:ind w:left="1134" w:hanging="708"/>
        <w:jc w:val="both"/>
        <w:rPr>
          <w:rFonts w:hint="default" w:ascii="Times New Roman" w:hAnsi="Times New Roman" w:cs="Times New Roman"/>
          <w:b/>
          <w:bCs/>
          <w:szCs w:val="20"/>
        </w:rPr>
      </w:pPr>
      <w:r>
        <w:rPr>
          <w:rFonts w:hint="default" w:ascii="Times New Roman" w:hAnsi="Times New Roman" w:cs="Times New Roman"/>
          <w:szCs w:val="20"/>
          <w:lang w:eastAsia="en-US"/>
        </w:rPr>
        <w:t>Na hipótese de a verificação a que se refere o subitem anterior não ser procedida dentro do prazo fixado, reputar-se-á como realizada, consumando-se o recebimento definitivo no dia do esgotamento do prazo.</w:t>
      </w:r>
    </w:p>
    <w:p>
      <w:pPr>
        <w:numPr>
          <w:ilvl w:val="1"/>
          <w:numId w:val="2"/>
        </w:numPr>
        <w:spacing w:before="120" w:after="120" w:line="276" w:lineRule="auto"/>
        <w:ind w:left="425" w:firstLine="0"/>
        <w:jc w:val="both"/>
        <w:rPr>
          <w:rFonts w:hint="default" w:ascii="Times New Roman" w:hAnsi="Times New Roman" w:cs="Times New Roman"/>
          <w:szCs w:val="20"/>
        </w:rPr>
      </w:pPr>
      <w:r>
        <w:rPr>
          <w:rFonts w:hint="default" w:ascii="Times New Roman" w:hAnsi="Times New Roman" w:cs="Times New Roman"/>
          <w:szCs w:val="20"/>
          <w:lang w:eastAsia="en-US"/>
        </w:rPr>
        <w:t>O recebimento provisório ou definitivo do objeto não exclui a responsabilidade da contratada pelos prejuízos resultantes da incorreta execução do contrato.</w:t>
      </w:r>
    </w:p>
    <w:p>
      <w:pPr>
        <w:numPr>
          <w:ilvl w:val="1"/>
          <w:numId w:val="2"/>
        </w:numPr>
        <w:spacing w:before="120" w:after="120" w:line="276" w:lineRule="auto"/>
        <w:ind w:hanging="6"/>
        <w:jc w:val="both"/>
        <w:rPr>
          <w:rFonts w:hint="default" w:ascii="Times New Roman" w:hAnsi="Times New Roman" w:cs="Times New Roman"/>
          <w:szCs w:val="20"/>
        </w:rPr>
      </w:pPr>
      <w:r>
        <w:rPr>
          <w:rFonts w:hint="default" w:ascii="Times New Roman" w:hAnsi="Times New Roman" w:cs="Times New Roman"/>
          <w:szCs w:val="20"/>
        </w:rPr>
        <w:t xml:space="preserve">A entrega deverá ser realizada no prazo máximo de 10 (dez) dias </w:t>
      </w:r>
      <w:r>
        <w:rPr>
          <w:rFonts w:hint="default" w:ascii="Times New Roman" w:hAnsi="Times New Roman" w:cs="Times New Roman"/>
          <w:szCs w:val="20"/>
          <w:lang w:val="pt-BR"/>
        </w:rPr>
        <w:t>ú</w:t>
      </w:r>
      <w:r>
        <w:rPr>
          <w:rFonts w:hint="default" w:ascii="Times New Roman" w:hAnsi="Times New Roman" w:cs="Times New Roman"/>
          <w:szCs w:val="20"/>
        </w:rPr>
        <w:t>teis.</w:t>
      </w:r>
    </w:p>
    <w:p>
      <w:pPr>
        <w:numPr>
          <w:ilvl w:val="1"/>
          <w:numId w:val="2"/>
        </w:numPr>
        <w:spacing w:before="120" w:after="120" w:line="276" w:lineRule="auto"/>
        <w:ind w:hanging="6"/>
        <w:jc w:val="both"/>
        <w:rPr>
          <w:rFonts w:hint="default" w:ascii="Times New Roman" w:hAnsi="Times New Roman" w:cs="Times New Roman"/>
          <w:szCs w:val="20"/>
        </w:rPr>
      </w:pPr>
      <w:r>
        <w:rPr>
          <w:rFonts w:hint="default" w:ascii="Times New Roman" w:hAnsi="Times New Roman" w:cs="Times New Roman"/>
          <w:szCs w:val="20"/>
        </w:rPr>
        <w:t>Os produtos deverão ter prazo de validade mínima de 12 meses, a contar da data da entrega;</w:t>
      </w:r>
    </w:p>
    <w:p>
      <w:pPr>
        <w:numPr>
          <w:ilvl w:val="1"/>
          <w:numId w:val="2"/>
        </w:numPr>
        <w:spacing w:before="120" w:after="120" w:line="276" w:lineRule="auto"/>
        <w:ind w:hanging="6"/>
        <w:jc w:val="both"/>
        <w:rPr>
          <w:rFonts w:hint="default" w:ascii="Times New Roman" w:hAnsi="Times New Roman" w:cs="Times New Roman"/>
          <w:szCs w:val="20"/>
        </w:rPr>
      </w:pPr>
      <w:r>
        <w:rPr>
          <w:rFonts w:hint="default" w:ascii="Times New Roman" w:hAnsi="Times New Roman" w:cs="Times New Roman"/>
          <w:szCs w:val="20"/>
        </w:rPr>
        <w:t xml:space="preserve">Em caso de recusa dos produtos, por discrepância com objeto licitado, a empresa terá prazo de 05 (cinco) dias </w:t>
      </w:r>
      <w:r>
        <w:rPr>
          <w:rFonts w:hint="default" w:ascii="Times New Roman" w:hAnsi="Times New Roman" w:cs="Times New Roman"/>
          <w:szCs w:val="20"/>
          <w:lang w:val="pt-BR"/>
        </w:rPr>
        <w:t>úteis</w:t>
      </w:r>
      <w:r>
        <w:rPr>
          <w:rFonts w:hint="default" w:ascii="Times New Roman" w:hAnsi="Times New Roman" w:cs="Times New Roman"/>
          <w:szCs w:val="20"/>
        </w:rPr>
        <w:t xml:space="preserve"> para providenciar a substituição, sob pena de incidir nas sanções administrativas previstas. </w:t>
      </w:r>
    </w:p>
    <w:p>
      <w:pPr>
        <w:numPr>
          <w:ilvl w:val="1"/>
          <w:numId w:val="2"/>
        </w:numPr>
        <w:spacing w:before="120" w:after="120" w:line="276" w:lineRule="auto"/>
        <w:ind w:hanging="6"/>
        <w:jc w:val="both"/>
        <w:rPr>
          <w:rFonts w:hint="default" w:ascii="Times New Roman" w:hAnsi="Times New Roman" w:cs="Times New Roman"/>
          <w:szCs w:val="20"/>
        </w:rPr>
      </w:pPr>
      <w:r>
        <w:rPr>
          <w:rFonts w:hint="default" w:ascii="Times New Roman" w:hAnsi="Times New Roman" w:cs="Times New Roman"/>
          <w:szCs w:val="20"/>
          <w:lang w:val="pt-BR"/>
        </w:rPr>
        <w:t>Será</w:t>
      </w:r>
      <w:r>
        <w:rPr>
          <w:rFonts w:hint="default" w:ascii="Times New Roman" w:hAnsi="Times New Roman" w:cs="Times New Roman"/>
          <w:szCs w:val="20"/>
        </w:rPr>
        <w:t xml:space="preserve"> exigido</w:t>
      </w:r>
      <w:r>
        <w:rPr>
          <w:rFonts w:hint="default" w:ascii="Times New Roman" w:hAnsi="Times New Roman" w:cs="Times New Roman"/>
          <w:szCs w:val="20"/>
          <w:lang w:val="pt-BR"/>
        </w:rPr>
        <w:t xml:space="preserve"> do teste a </w:t>
      </w:r>
      <w:r>
        <w:rPr>
          <w:rFonts w:hint="default" w:ascii="Times New Roman" w:hAnsi="Times New Roman" w:cs="Times New Roman"/>
          <w:szCs w:val="20"/>
        </w:rPr>
        <w:t>sensibilidade e especificidade mínima (9</w:t>
      </w:r>
      <w:r>
        <w:rPr>
          <w:rFonts w:hint="default" w:ascii="Times New Roman" w:hAnsi="Times New Roman" w:cs="Times New Roman"/>
          <w:szCs w:val="20"/>
          <w:lang w:val="pt-BR"/>
        </w:rPr>
        <w:t>4</w:t>
      </w:r>
      <w:r>
        <w:rPr>
          <w:rFonts w:hint="default" w:ascii="Times New Roman" w:hAnsi="Times New Roman" w:cs="Times New Roman"/>
          <w:szCs w:val="20"/>
        </w:rPr>
        <w:t>% e 99%) pois de acordo com o Ministério da Saúde</w:t>
      </w:r>
      <w:r>
        <w:rPr>
          <w:rFonts w:hint="default" w:ascii="Times New Roman" w:hAnsi="Times New Roman" w:cs="Times New Roman"/>
          <w:szCs w:val="20"/>
          <w:lang w:val="pt-BR"/>
        </w:rPr>
        <w:t>,</w:t>
      </w:r>
      <w:r>
        <w:rPr>
          <w:rFonts w:hint="default" w:ascii="Times New Roman" w:hAnsi="Times New Roman" w:cs="Times New Roman"/>
          <w:szCs w:val="20"/>
        </w:rPr>
        <w:t xml:space="preserve"> é importante destacar que uma baixa sensibilidade do teste diagnóstico pode conduzir a uma maior probabilidade de obter resultados falsos-negativos, o que poderia implicar o não diagnóstico dos indivíduos assintomáticos. </w:t>
      </w:r>
    </w:p>
    <w:p>
      <w:pPr>
        <w:pStyle w:val="21"/>
        <w:numPr>
          <w:ilvl w:val="2"/>
          <w:numId w:val="2"/>
        </w:numPr>
        <w:spacing w:before="120" w:after="120" w:line="276" w:lineRule="auto"/>
        <w:jc w:val="both"/>
        <w:rPr>
          <w:rFonts w:hint="default" w:ascii="Times New Roman" w:hAnsi="Times New Roman" w:cs="Times New Roman"/>
          <w:szCs w:val="20"/>
        </w:rPr>
      </w:pPr>
      <w:r>
        <w:rPr>
          <w:rFonts w:hint="default" w:ascii="Times New Roman" w:hAnsi="Times New Roman" w:cs="Times New Roman"/>
          <w:szCs w:val="20"/>
        </w:rPr>
        <w:t>Destaca-se que, com o avanço científico na elaboração de testes e medidas para detecção do vírus, são vários os produtos existentes no mercado que possuem a acurácia de acordo com o recomendado pelo Ministério da Saúde</w:t>
      </w:r>
      <w:r>
        <w:rPr>
          <w:rFonts w:hint="default" w:ascii="Times New Roman" w:hAnsi="Times New Roman" w:cs="Times New Roman"/>
          <w:szCs w:val="20"/>
          <w:lang w:val="pt-BR"/>
        </w:rPr>
        <w:t xml:space="preserve"> (</w:t>
      </w:r>
      <w:r>
        <w:rPr>
          <w:rFonts w:hint="default" w:ascii="Times New Roman" w:hAnsi="Times New Roman" w:cs="Times New Roman"/>
          <w:szCs w:val="20"/>
        </w:rPr>
        <w:t xml:space="preserve"> NOTA TÉCNICA Nº 427/2021-CGLAB/DAEVS/SVS/MS</w:t>
      </w:r>
      <w:r>
        <w:rPr>
          <w:rFonts w:hint="default" w:ascii="Times New Roman" w:hAnsi="Times New Roman" w:cs="Times New Roman"/>
          <w:szCs w:val="20"/>
          <w:lang w:val="pt-BR"/>
        </w:rPr>
        <w:t xml:space="preserve">) </w:t>
      </w:r>
      <w:r>
        <w:rPr>
          <w:rFonts w:hint="default" w:ascii="Times New Roman" w:hAnsi="Times New Roman" w:cs="Times New Roman"/>
          <w:szCs w:val="20"/>
        </w:rPr>
        <w:t>sendo assim, resta respeitado os princípios da isonomia e impessoalidade.</w:t>
      </w:r>
    </w:p>
    <w:p>
      <w:pPr>
        <w:pStyle w:val="21"/>
        <w:spacing w:before="120" w:after="120" w:line="276" w:lineRule="auto"/>
        <w:ind w:left="504"/>
        <w:jc w:val="both"/>
        <w:rPr>
          <w:rFonts w:hint="default" w:ascii="Times New Roman" w:hAnsi="Times New Roman" w:cs="Times New Roman"/>
          <w:szCs w:val="20"/>
        </w:rPr>
      </w:pPr>
    </w:p>
    <w:p>
      <w:pPr>
        <w:pStyle w:val="21"/>
        <w:numPr>
          <w:ilvl w:val="2"/>
          <w:numId w:val="2"/>
        </w:numPr>
        <w:autoSpaceDE w:val="0"/>
        <w:autoSpaceDN w:val="0"/>
        <w:adjustRightInd w:val="0"/>
        <w:spacing w:before="120" w:after="120" w:line="276" w:lineRule="auto"/>
        <w:ind w:left="360"/>
        <w:jc w:val="both"/>
        <w:rPr>
          <w:rFonts w:hint="default" w:ascii="Times New Roman" w:hAnsi="Times New Roman" w:cs="Times New Roman"/>
          <w:szCs w:val="20"/>
        </w:rPr>
      </w:pPr>
      <w:r>
        <w:rPr>
          <w:rFonts w:hint="default" w:ascii="Times New Roman" w:hAnsi="Times New Roman" w:cs="Times New Roman"/>
        </w:rPr>
        <w:t xml:space="preserve"> </w:t>
      </w:r>
      <w:r>
        <w:rPr>
          <w:rFonts w:hint="default" w:ascii="Times New Roman" w:hAnsi="Times New Roman" w:cs="Times New Roman" w:eastAsiaTheme="minorHAnsi"/>
          <w:bCs/>
          <w:szCs w:val="20"/>
          <w:lang w:eastAsia="en-US"/>
        </w:rPr>
        <w:t xml:space="preserve">A qualidade e conformidade do teste com a instrução de uso garante a sensibilidade alta exigida no </w:t>
      </w:r>
      <w:r>
        <w:rPr>
          <w:rFonts w:hint="default" w:ascii="Times New Roman" w:hAnsi="Times New Roman" w:cs="Times New Roman" w:eastAsiaTheme="minorHAnsi"/>
          <w:bCs/>
          <w:szCs w:val="20"/>
          <w:lang w:val="pt-BR" w:eastAsia="en-US"/>
        </w:rPr>
        <w:t>termo de referência</w:t>
      </w:r>
      <w:r>
        <w:rPr>
          <w:rFonts w:hint="default" w:ascii="Times New Roman" w:hAnsi="Times New Roman" w:cs="Times New Roman" w:eastAsiaTheme="minorHAnsi"/>
          <w:bCs/>
          <w:szCs w:val="20"/>
          <w:lang w:eastAsia="en-US"/>
        </w:rPr>
        <w:t>. De preferência destacar a sensibilidade exigida na instrução de uso mostrando tal sensibilidade</w:t>
      </w:r>
      <w:r>
        <w:rPr>
          <w:rFonts w:hint="default" w:ascii="Times New Roman" w:hAnsi="Times New Roman" w:cs="Times New Roman" w:eastAsiaTheme="minorHAnsi"/>
          <w:bCs/>
          <w:szCs w:val="20"/>
          <w:lang w:val="pt-BR" w:eastAsia="en-US"/>
        </w:rPr>
        <w:t>.</w:t>
      </w:r>
    </w:p>
    <w:p>
      <w:pPr>
        <w:pStyle w:val="35"/>
        <w:numPr>
          <w:ilvl w:val="0"/>
          <w:numId w:val="0"/>
        </w:numPr>
        <w:ind w:left="360" w:hanging="360"/>
        <w:rPr>
          <w:rFonts w:hint="default" w:ascii="Times New Roman" w:hAnsi="Times New Roman" w:cs="Times New Roman"/>
          <w:color w:val="auto"/>
        </w:rPr>
      </w:pPr>
      <w:r>
        <w:rPr>
          <w:rFonts w:hint="default" w:ascii="Times New Roman" w:hAnsi="Times New Roman" w:cs="Times New Roman" w:eastAsiaTheme="minorHAnsi"/>
          <w:color w:val="auto"/>
          <w:lang w:eastAsia="en-US"/>
        </w:rPr>
        <w:t>5.0 D</w:t>
      </w:r>
      <w:r>
        <w:rPr>
          <w:rFonts w:hint="default" w:ascii="Times New Roman" w:hAnsi="Times New Roman" w:cs="Times New Roman"/>
          <w:color w:val="auto"/>
        </w:rPr>
        <w:t>A HABILITAÇÃO</w:t>
      </w:r>
    </w:p>
    <w:p>
      <w:pPr>
        <w:rPr>
          <w:rFonts w:hint="default" w:ascii="Times New Roman" w:hAnsi="Times New Roman" w:cs="Times New Roman"/>
          <w:szCs w:val="20"/>
        </w:rPr>
      </w:pPr>
    </w:p>
    <w:p>
      <w:pPr>
        <w:autoSpaceDE w:val="0"/>
        <w:autoSpaceDN w:val="0"/>
        <w:adjustRightInd w:val="0"/>
        <w:rPr>
          <w:rFonts w:hint="default" w:ascii="Times New Roman" w:hAnsi="Times New Roman" w:cs="Times New Roman" w:eastAsiaTheme="minorHAnsi"/>
          <w:b/>
          <w:bCs/>
          <w:szCs w:val="20"/>
          <w:lang w:eastAsia="en-US"/>
        </w:rPr>
      </w:pPr>
      <w:r>
        <w:rPr>
          <w:rFonts w:hint="default" w:ascii="Times New Roman" w:hAnsi="Times New Roman" w:cs="Times New Roman" w:eastAsiaTheme="minorHAnsi"/>
          <w:b/>
          <w:bCs/>
          <w:szCs w:val="20"/>
          <w:lang w:eastAsia="en-US"/>
        </w:rPr>
        <w:t xml:space="preserve">5.1 - HABILITAÇÃO JURÍDICA </w:t>
      </w:r>
    </w:p>
    <w:p>
      <w:pPr>
        <w:autoSpaceDE w:val="0"/>
        <w:autoSpaceDN w:val="0"/>
        <w:adjustRightInd w:val="0"/>
        <w:rPr>
          <w:rFonts w:hint="default" w:ascii="Times New Roman" w:hAnsi="Times New Roman" w:cs="Times New Roman" w:eastAsiaTheme="minorHAnsi"/>
          <w:b/>
          <w:bCs/>
          <w:szCs w:val="20"/>
          <w:lang w:eastAsia="en-US"/>
        </w:rPr>
      </w:pPr>
    </w:p>
    <w:p>
      <w:pPr>
        <w:jc w:val="both"/>
        <w:rPr>
          <w:rFonts w:hint="default" w:ascii="Times New Roman" w:hAnsi="Times New Roman" w:cs="Times New Roman"/>
          <w:szCs w:val="20"/>
        </w:rPr>
      </w:pPr>
      <w:r>
        <w:rPr>
          <w:rFonts w:hint="default" w:ascii="Times New Roman" w:hAnsi="Times New Roman" w:cs="Times New Roman"/>
          <w:szCs w:val="20"/>
        </w:rPr>
        <w:t xml:space="preserve">Os interessados em participar deverão apresentar os documentos que seguem: </w:t>
      </w:r>
    </w:p>
    <w:p>
      <w:pPr>
        <w:jc w:val="both"/>
        <w:rPr>
          <w:rFonts w:hint="default" w:ascii="Times New Roman" w:hAnsi="Times New Roman" w:cs="Times New Roman"/>
          <w:szCs w:val="20"/>
        </w:rPr>
      </w:pPr>
    </w:p>
    <w:p>
      <w:pPr>
        <w:pStyle w:val="21"/>
        <w:widowControl w:val="0"/>
        <w:numPr>
          <w:ilvl w:val="0"/>
          <w:numId w:val="6"/>
        </w:numPr>
        <w:tabs>
          <w:tab w:val="left" w:pos="838"/>
        </w:tabs>
        <w:autoSpaceDE w:val="0"/>
        <w:autoSpaceDN w:val="0"/>
        <w:spacing w:line="268" w:lineRule="auto"/>
        <w:ind w:right="112"/>
        <w:contextualSpacing w:val="0"/>
        <w:jc w:val="both"/>
        <w:rPr>
          <w:rFonts w:hint="default" w:ascii="Times New Roman" w:hAnsi="Times New Roman" w:cs="Times New Roman"/>
          <w:szCs w:val="20"/>
        </w:rPr>
      </w:pPr>
      <w:r>
        <w:rPr>
          <w:rFonts w:hint="default" w:ascii="Times New Roman" w:hAnsi="Times New Roman" w:cs="Times New Roman"/>
          <w:szCs w:val="20"/>
        </w:rPr>
        <w:t>Prova de Inscrição no Cadastro Nacional de Pessoas Jurídicas (CNPJ), conforme o caso, expedidos pela Secretaria da Receita Federal;</w:t>
      </w:r>
    </w:p>
    <w:p>
      <w:pPr>
        <w:pStyle w:val="21"/>
        <w:widowControl w:val="0"/>
        <w:numPr>
          <w:ilvl w:val="0"/>
          <w:numId w:val="6"/>
        </w:numPr>
        <w:tabs>
          <w:tab w:val="left" w:pos="426"/>
        </w:tabs>
        <w:autoSpaceDE w:val="0"/>
        <w:autoSpaceDN w:val="0"/>
        <w:spacing w:before="216" w:line="274" w:lineRule="auto"/>
        <w:ind w:left="709" w:hanging="142"/>
        <w:contextualSpacing w:val="0"/>
        <w:jc w:val="both"/>
        <w:rPr>
          <w:rFonts w:hint="default" w:ascii="Times New Roman" w:hAnsi="Times New Roman" w:cs="Times New Roman"/>
          <w:szCs w:val="20"/>
        </w:rPr>
      </w:pPr>
      <w:r>
        <w:rPr>
          <w:rFonts w:hint="default" w:ascii="Times New Roman" w:hAnsi="Times New Roman" w:cs="Times New Roman"/>
          <w:szCs w:val="20"/>
        </w:rPr>
        <w:t xml:space="preserve">Ato constitutivo, estatuto ou contrato social em vigor e suas alterações, devidamente registrados, em </w:t>
      </w:r>
      <w:r>
        <w:rPr>
          <w:rFonts w:hint="default" w:ascii="Times New Roman" w:hAnsi="Times New Roman" w:cs="Times New Roman"/>
          <w:spacing w:val="-3"/>
          <w:szCs w:val="20"/>
        </w:rPr>
        <w:t xml:space="preserve">se </w:t>
      </w:r>
      <w:r>
        <w:rPr>
          <w:rFonts w:hint="default" w:ascii="Times New Roman" w:hAnsi="Times New Roman" w:cs="Times New Roman"/>
          <w:szCs w:val="20"/>
        </w:rPr>
        <w:t>tratando de sociedades comerciais, e, no caso de sociedade por ações, acompanhado de documentos de eleição de seus de seus administradores;</w:t>
      </w:r>
    </w:p>
    <w:p>
      <w:pPr>
        <w:pStyle w:val="21"/>
        <w:widowControl w:val="0"/>
        <w:numPr>
          <w:ilvl w:val="0"/>
          <w:numId w:val="6"/>
        </w:numPr>
        <w:tabs>
          <w:tab w:val="left" w:pos="838"/>
        </w:tabs>
        <w:autoSpaceDE w:val="0"/>
        <w:autoSpaceDN w:val="0"/>
        <w:spacing w:before="205" w:line="273" w:lineRule="auto"/>
        <w:ind w:right="117"/>
        <w:contextualSpacing w:val="0"/>
        <w:jc w:val="both"/>
        <w:rPr>
          <w:rFonts w:hint="default" w:ascii="Times New Roman" w:hAnsi="Times New Roman" w:cs="Times New Roman"/>
          <w:szCs w:val="20"/>
        </w:rPr>
      </w:pPr>
      <w:r>
        <w:rPr>
          <w:rFonts w:hint="default" w:ascii="Times New Roman" w:hAnsi="Times New Roman" w:cs="Times New Roman"/>
          <w:szCs w:val="20"/>
        </w:rPr>
        <w:t>Cópia dos documentos pessoais do representante legal da empresa e/ou do responsável pela assinatura do instrumento contratual.</w:t>
      </w:r>
    </w:p>
    <w:p>
      <w:pPr>
        <w:pStyle w:val="21"/>
        <w:widowControl w:val="0"/>
        <w:numPr>
          <w:ilvl w:val="0"/>
          <w:numId w:val="6"/>
        </w:numPr>
        <w:tabs>
          <w:tab w:val="left" w:pos="838"/>
        </w:tabs>
        <w:autoSpaceDE w:val="0"/>
        <w:autoSpaceDN w:val="0"/>
        <w:spacing w:before="210" w:line="273" w:lineRule="auto"/>
        <w:ind w:right="116"/>
        <w:contextualSpacing w:val="0"/>
        <w:jc w:val="both"/>
        <w:rPr>
          <w:rFonts w:hint="default" w:ascii="Times New Roman" w:hAnsi="Times New Roman" w:cs="Times New Roman"/>
          <w:szCs w:val="20"/>
        </w:rPr>
      </w:pPr>
      <w:r>
        <w:rPr>
          <w:rFonts w:hint="default" w:ascii="Times New Roman" w:hAnsi="Times New Roman" w:cs="Times New Roman"/>
          <w:szCs w:val="20"/>
        </w:rPr>
        <w:t>Inscrição do ato constitutivo, no caso de sociedades civis, acompanhada de prova de diretoria em exercício.</w:t>
      </w:r>
    </w:p>
    <w:p>
      <w:pPr>
        <w:pStyle w:val="21"/>
        <w:widowControl w:val="0"/>
        <w:numPr>
          <w:ilvl w:val="0"/>
          <w:numId w:val="6"/>
        </w:numPr>
        <w:tabs>
          <w:tab w:val="left" w:pos="838"/>
        </w:tabs>
        <w:autoSpaceDE w:val="0"/>
        <w:autoSpaceDN w:val="0"/>
        <w:spacing w:before="206" w:line="276" w:lineRule="auto"/>
        <w:ind w:right="112"/>
        <w:contextualSpacing w:val="0"/>
        <w:jc w:val="both"/>
        <w:rPr>
          <w:rFonts w:hint="default" w:ascii="Times New Roman" w:hAnsi="Times New Roman" w:cs="Times New Roman"/>
          <w:szCs w:val="20"/>
        </w:rPr>
      </w:pPr>
      <w:r>
        <w:rPr>
          <w:rFonts w:hint="default" w:ascii="Times New Roman" w:hAnsi="Times New Roman" w:cs="Times New Roman"/>
          <w:szCs w:val="20"/>
        </w:rPr>
        <w:t>ProvaderegularidadeparacomaFazendaFederalconjuntamentecomaprovade regularidade relativa à Seguridade Social, mediante apresentação de Certidão Conjunta de Débitos Relativos a Tributos Federais e à Dívida Ativa da União, fornecida pela Secretaria da Receita Federal do Brasil e Procuradoria-Geral da Fazenda Nacional;</w:t>
      </w:r>
    </w:p>
    <w:p>
      <w:pPr>
        <w:pStyle w:val="21"/>
        <w:widowControl w:val="0"/>
        <w:numPr>
          <w:ilvl w:val="0"/>
          <w:numId w:val="6"/>
        </w:numPr>
        <w:tabs>
          <w:tab w:val="left" w:pos="838"/>
        </w:tabs>
        <w:autoSpaceDE w:val="0"/>
        <w:autoSpaceDN w:val="0"/>
        <w:spacing w:before="202" w:line="273" w:lineRule="auto"/>
        <w:ind w:right="126"/>
        <w:contextualSpacing w:val="0"/>
        <w:jc w:val="both"/>
        <w:rPr>
          <w:rFonts w:hint="default" w:ascii="Times New Roman" w:hAnsi="Times New Roman" w:cs="Times New Roman"/>
          <w:szCs w:val="20"/>
        </w:rPr>
      </w:pPr>
      <w:r>
        <w:rPr>
          <w:rFonts w:hint="default" w:ascii="Times New Roman" w:hAnsi="Times New Roman" w:cs="Times New Roman"/>
          <w:szCs w:val="20"/>
        </w:rPr>
        <w:t>Prova de regularidade com a Fazenda Estadual do domicílio da sede da Licitante mediante apresentação de certidão emitida pela Secretaria competente do Estado;</w:t>
      </w:r>
    </w:p>
    <w:p>
      <w:pPr>
        <w:pStyle w:val="11"/>
        <w:spacing w:before="9"/>
        <w:rPr>
          <w:rFonts w:hint="default" w:ascii="Times New Roman" w:hAnsi="Times New Roman" w:cs="Times New Roman"/>
          <w:sz w:val="20"/>
          <w:szCs w:val="20"/>
        </w:rPr>
      </w:pPr>
    </w:p>
    <w:p>
      <w:pPr>
        <w:pStyle w:val="21"/>
        <w:widowControl w:val="0"/>
        <w:numPr>
          <w:ilvl w:val="0"/>
          <w:numId w:val="6"/>
        </w:numPr>
        <w:tabs>
          <w:tab w:val="left" w:pos="838"/>
        </w:tabs>
        <w:autoSpaceDE w:val="0"/>
        <w:autoSpaceDN w:val="0"/>
        <w:spacing w:before="1" w:line="273" w:lineRule="auto"/>
        <w:ind w:right="125"/>
        <w:contextualSpacing w:val="0"/>
        <w:jc w:val="both"/>
        <w:rPr>
          <w:rFonts w:hint="default" w:ascii="Times New Roman" w:hAnsi="Times New Roman" w:cs="Times New Roman"/>
          <w:szCs w:val="20"/>
        </w:rPr>
      </w:pPr>
      <w:r>
        <w:rPr>
          <w:rFonts w:hint="default" w:ascii="Times New Roman" w:hAnsi="Times New Roman" w:cs="Times New Roman"/>
          <w:szCs w:val="20"/>
        </w:rPr>
        <w:t>Prova de Regularidade para com a Fazenda Municipal do domicílio da sede do contratado mediante apresentação de certidão emitida pela secretaria competente do Município;</w:t>
      </w:r>
    </w:p>
    <w:p>
      <w:pPr>
        <w:pStyle w:val="21"/>
        <w:widowControl w:val="0"/>
        <w:numPr>
          <w:ilvl w:val="0"/>
          <w:numId w:val="6"/>
        </w:numPr>
        <w:tabs>
          <w:tab w:val="left" w:pos="838"/>
        </w:tabs>
        <w:autoSpaceDE w:val="0"/>
        <w:autoSpaceDN w:val="0"/>
        <w:spacing w:before="170" w:line="273" w:lineRule="auto"/>
        <w:ind w:right="112"/>
        <w:contextualSpacing w:val="0"/>
        <w:jc w:val="both"/>
        <w:rPr>
          <w:rFonts w:hint="default" w:ascii="Times New Roman" w:hAnsi="Times New Roman" w:cs="Times New Roman"/>
          <w:szCs w:val="20"/>
        </w:rPr>
      </w:pPr>
      <w:r>
        <w:rPr>
          <w:rFonts w:hint="default" w:ascii="Times New Roman" w:hAnsi="Times New Roman" w:cs="Times New Roman"/>
          <w:szCs w:val="20"/>
        </w:rPr>
        <w:t>Regularidade relativa ao Fundo de Garantia por Tempo de Serviço (FGTS), emitida pela Caixa Econômica Federal;</w:t>
      </w:r>
    </w:p>
    <w:p>
      <w:pPr>
        <w:pStyle w:val="21"/>
        <w:widowControl w:val="0"/>
        <w:numPr>
          <w:ilvl w:val="0"/>
          <w:numId w:val="6"/>
        </w:numPr>
        <w:tabs>
          <w:tab w:val="left" w:pos="837"/>
          <w:tab w:val="left" w:pos="838"/>
        </w:tabs>
        <w:autoSpaceDE w:val="0"/>
        <w:autoSpaceDN w:val="0"/>
        <w:spacing w:before="199"/>
        <w:contextualSpacing w:val="0"/>
        <w:jc w:val="both"/>
        <w:rPr>
          <w:rFonts w:hint="default" w:ascii="Times New Roman" w:hAnsi="Times New Roman" w:cs="Times New Roman"/>
          <w:szCs w:val="20"/>
        </w:rPr>
      </w:pPr>
      <w:r>
        <w:rPr>
          <w:rFonts w:hint="default" w:ascii="Times New Roman" w:hAnsi="Times New Roman" w:cs="Times New Roman"/>
          <w:szCs w:val="20"/>
        </w:rPr>
        <w:t>Prova de inexistência de débitos inadimplidos perante a Justiça do Trabalho;</w:t>
      </w:r>
    </w:p>
    <w:p>
      <w:pPr>
        <w:autoSpaceDE w:val="0"/>
        <w:autoSpaceDN w:val="0"/>
        <w:adjustRightInd w:val="0"/>
        <w:rPr>
          <w:rFonts w:hint="default" w:ascii="Times New Roman" w:hAnsi="Times New Roman" w:cs="Times New Roman" w:eastAsiaTheme="minorHAnsi"/>
          <w:szCs w:val="20"/>
          <w:lang w:eastAsia="en-US"/>
        </w:rPr>
      </w:pPr>
    </w:p>
    <w:p>
      <w:pPr>
        <w:rPr>
          <w:rFonts w:hint="default" w:ascii="Times New Roman" w:hAnsi="Times New Roman" w:cs="Times New Roman"/>
          <w:szCs w:val="20"/>
        </w:rPr>
      </w:pPr>
    </w:p>
    <w:p>
      <w:pPr>
        <w:pStyle w:val="21"/>
        <w:numPr>
          <w:ilvl w:val="1"/>
          <w:numId w:val="7"/>
        </w:numPr>
        <w:autoSpaceDE w:val="0"/>
        <w:autoSpaceDN w:val="0"/>
        <w:adjustRightInd w:val="0"/>
        <w:jc w:val="both"/>
        <w:rPr>
          <w:rFonts w:hint="default" w:ascii="Times New Roman" w:hAnsi="Times New Roman" w:cs="Times New Roman" w:eastAsiaTheme="minorHAnsi"/>
          <w:b/>
          <w:bCs/>
          <w:szCs w:val="20"/>
          <w:lang w:eastAsia="en-US"/>
        </w:rPr>
      </w:pPr>
      <w:r>
        <w:rPr>
          <w:rFonts w:hint="default" w:ascii="Times New Roman" w:hAnsi="Times New Roman" w:cs="Times New Roman" w:eastAsiaTheme="minorHAnsi"/>
          <w:b/>
          <w:bCs/>
          <w:szCs w:val="20"/>
          <w:lang w:eastAsia="en-US"/>
        </w:rPr>
        <w:t>- QUALIFCAÇÃO TÉCNICA</w:t>
      </w:r>
    </w:p>
    <w:p>
      <w:pPr>
        <w:pStyle w:val="21"/>
        <w:autoSpaceDE w:val="0"/>
        <w:autoSpaceDN w:val="0"/>
        <w:adjustRightInd w:val="0"/>
        <w:ind w:left="360"/>
        <w:jc w:val="both"/>
        <w:rPr>
          <w:rFonts w:hint="default" w:ascii="Times New Roman" w:hAnsi="Times New Roman" w:cs="Times New Roman"/>
          <w:sz w:val="16"/>
          <w:szCs w:val="16"/>
          <w:shd w:val="clear" w:color="auto" w:fill="FFFFFF"/>
        </w:rPr>
      </w:pPr>
    </w:p>
    <w:p>
      <w:pPr>
        <w:pStyle w:val="21"/>
        <w:autoSpaceDE w:val="0"/>
        <w:autoSpaceDN w:val="0"/>
        <w:adjustRightInd w:val="0"/>
        <w:ind w:left="360"/>
        <w:jc w:val="both"/>
        <w:rPr>
          <w:rFonts w:hint="default" w:ascii="Times New Roman" w:hAnsi="Times New Roman" w:cs="Times New Roman" w:eastAsiaTheme="minorHAnsi"/>
          <w:b/>
          <w:bCs/>
          <w:szCs w:val="20"/>
          <w:lang w:eastAsia="en-US"/>
        </w:rPr>
      </w:pPr>
    </w:p>
    <w:p>
      <w:pPr>
        <w:widowControl w:val="0"/>
        <w:tabs>
          <w:tab w:val="left" w:pos="629"/>
        </w:tabs>
        <w:autoSpaceDE w:val="0"/>
        <w:autoSpaceDN w:val="0"/>
        <w:spacing w:line="360" w:lineRule="auto"/>
        <w:ind w:right="191"/>
        <w:jc w:val="both"/>
        <w:rPr>
          <w:rFonts w:hint="default" w:ascii="Times New Roman" w:hAnsi="Times New Roman" w:cs="Times New Roman"/>
        </w:rPr>
      </w:pPr>
      <w:r>
        <w:rPr>
          <w:rFonts w:hint="default" w:ascii="Times New Roman" w:hAnsi="Times New Roman" w:cs="Times New Roman"/>
        </w:rPr>
        <w:t>5.1. Deverão ser exigidos os seguintes documentos na fase de habilitação das empresas:</w:t>
      </w:r>
    </w:p>
    <w:p>
      <w:pPr>
        <w:widowControl w:val="0"/>
        <w:tabs>
          <w:tab w:val="left" w:pos="629"/>
        </w:tabs>
        <w:autoSpaceDE w:val="0"/>
        <w:autoSpaceDN w:val="0"/>
        <w:spacing w:line="360" w:lineRule="auto"/>
        <w:ind w:right="191"/>
        <w:jc w:val="both"/>
        <w:rPr>
          <w:rFonts w:hint="default" w:ascii="Times New Roman" w:hAnsi="Times New Roman" w:cs="Times New Roman"/>
        </w:rPr>
      </w:pPr>
      <w:r>
        <w:rPr>
          <w:rFonts w:hint="default" w:ascii="Times New Roman" w:hAnsi="Times New Roman" w:cs="Times New Roman"/>
        </w:rPr>
        <w:t xml:space="preserve">5.1.2. </w:t>
      </w:r>
      <w:r>
        <w:rPr>
          <w:rFonts w:hint="default" w:ascii="Times New Roman" w:hAnsi="Times New Roman" w:cs="Times New Roman"/>
          <w:b/>
        </w:rPr>
        <w:t>Alvará Sanitário emitido pelo Órgão Municipal competente ou documento equivalente emitido por Órgão Federal ou Estadual que comprove sua atividade comercial</w:t>
      </w:r>
      <w:r>
        <w:rPr>
          <w:rFonts w:hint="default" w:ascii="Times New Roman" w:hAnsi="Times New Roman" w:cs="Times New Roman"/>
        </w:rPr>
        <w:t xml:space="preserve"> ou quando dispensado no Município de origem da empresa licitante, deverá ser apresentada declaração, legislação municipal ou outro documento que comprove a dispensa do alvará sanitário. </w:t>
      </w:r>
    </w:p>
    <w:p>
      <w:pPr>
        <w:widowControl w:val="0"/>
        <w:tabs>
          <w:tab w:val="left" w:pos="629"/>
        </w:tabs>
        <w:autoSpaceDE w:val="0"/>
        <w:autoSpaceDN w:val="0"/>
        <w:spacing w:line="360" w:lineRule="auto"/>
        <w:ind w:right="191"/>
        <w:jc w:val="both"/>
        <w:rPr>
          <w:rFonts w:hint="default" w:ascii="Times New Roman" w:hAnsi="Times New Roman" w:cs="Times New Roman"/>
        </w:rPr>
      </w:pPr>
      <w:r>
        <w:rPr>
          <w:rFonts w:hint="default" w:ascii="Times New Roman" w:hAnsi="Times New Roman" w:cs="Times New Roman"/>
        </w:rPr>
        <w:t xml:space="preserve">5.1.3.  </w:t>
      </w:r>
      <w:r>
        <w:rPr>
          <w:rFonts w:hint="default" w:ascii="Times New Roman" w:hAnsi="Times New Roman" w:cs="Times New Roman"/>
          <w:b/>
          <w:bCs/>
        </w:rPr>
        <w:t>Cópia legível da licença ou autorização de funcionamento (comum e/ou especial) da empresa participante expedida pela Vigilância Sanitária/MS</w:t>
      </w:r>
      <w:r>
        <w:rPr>
          <w:rFonts w:hint="default" w:ascii="Times New Roman" w:hAnsi="Times New Roman" w:cs="Times New Roman"/>
        </w:rPr>
        <w:t xml:space="preserve">– será aceita publicação no Diário Oficial da União.  </w:t>
      </w:r>
    </w:p>
    <w:p>
      <w:pPr>
        <w:spacing w:line="360" w:lineRule="auto"/>
        <w:jc w:val="both"/>
        <w:rPr>
          <w:rFonts w:hint="default" w:ascii="Times New Roman" w:hAnsi="Times New Roman" w:cs="Times New Roman"/>
        </w:rPr>
      </w:pPr>
      <w:r>
        <w:rPr>
          <w:rFonts w:hint="default" w:ascii="Times New Roman" w:hAnsi="Times New Roman" w:cs="Times New Roman"/>
        </w:rPr>
        <w:t xml:space="preserve">5.1.4. </w:t>
      </w:r>
      <w:r>
        <w:rPr>
          <w:rFonts w:hint="default" w:ascii="Times New Roman" w:hAnsi="Times New Roman" w:cs="Times New Roman"/>
          <w:b/>
          <w:bCs/>
        </w:rPr>
        <w:t>Certificado do Registro d</w:t>
      </w:r>
      <w:r>
        <w:rPr>
          <w:rFonts w:hint="default" w:ascii="Times New Roman" w:hAnsi="Times New Roman" w:cs="Times New Roman"/>
          <w:b/>
          <w:bCs/>
          <w:lang w:val="pt-BR"/>
        </w:rPr>
        <w:t>o item</w:t>
      </w:r>
      <w:r>
        <w:rPr>
          <w:rFonts w:hint="default" w:ascii="Times New Roman" w:hAnsi="Times New Roman" w:cs="Times New Roman"/>
          <w:b/>
          <w:bCs/>
        </w:rPr>
        <w:t xml:space="preserve"> no Ministério da Saúde</w:t>
      </w:r>
      <w:r>
        <w:rPr>
          <w:rFonts w:hint="default" w:ascii="Times New Roman" w:hAnsi="Times New Roman" w:cs="Times New Roman"/>
        </w:rPr>
        <w:t xml:space="preserve">, fornecido através do seu órgão competente, conforme § 4º do Art. 14 do Decreto Federal nº 79.094/77 ou publicação no Diário da União. Em caso de registro vencido, o fornecedor deverá apresentar as Certidões de Registro vencidas e todos os pedidos de revalidação (Petição 1 e 2) com o carimbo do Protocolo do Ministério da Saúde perfeitamente legível, para averiguação do prazo previsto no§ 6º do art. 14 do Decreto Federal nº 79.094/77. Tratando-se de produtos dispensados de registro, que figurem em relações elaboradas pela ANVISA, CONFORME PREVISTO NA Lei 6.360/76 e Decreto nº 79.094/77, deverá ser apresentado o cadastramento ou a comprovação de dispensa. Os itens 12, 13, 17 e 18 são isentos de registro na ANVISA. </w:t>
      </w:r>
    </w:p>
    <w:p>
      <w:pPr>
        <w:widowControl w:val="0"/>
        <w:tabs>
          <w:tab w:val="left" w:pos="629"/>
        </w:tabs>
        <w:autoSpaceDE w:val="0"/>
        <w:autoSpaceDN w:val="0"/>
        <w:spacing w:line="242" w:lineRule="auto"/>
        <w:ind w:right="191"/>
        <w:jc w:val="both"/>
        <w:rPr>
          <w:rFonts w:hint="default" w:ascii="Times New Roman" w:hAnsi="Times New Roman" w:cs="Times New Roman"/>
        </w:rPr>
      </w:pPr>
    </w:p>
    <w:p>
      <w:pPr>
        <w:widowControl w:val="0"/>
        <w:tabs>
          <w:tab w:val="left" w:pos="622"/>
        </w:tabs>
        <w:autoSpaceDE w:val="0"/>
        <w:autoSpaceDN w:val="0"/>
        <w:spacing w:line="360" w:lineRule="auto"/>
        <w:ind w:right="191"/>
        <w:jc w:val="both"/>
        <w:rPr>
          <w:rFonts w:hint="default" w:ascii="Times New Roman" w:hAnsi="Times New Roman" w:cs="Times New Roman"/>
        </w:rPr>
      </w:pPr>
      <w:r>
        <w:rPr>
          <w:rFonts w:hint="default" w:ascii="Times New Roman" w:hAnsi="Times New Roman" w:cs="Times New Roman"/>
        </w:rPr>
        <w:t>5.1.5. Não foi exigida, para fins de qualificação técnica, a apresentação de Certificado de Boas Práticas de Fabricação e Controle - CBPF em atendimento a jurisprudência do TCU que é no sentido da ilegalidade em razão de: a) inexiste previsão específica em lei para tal exigência, afrontando o art. 30, inciso IV, da Lei 8.666/1993, cuja interpretação deve ser restritiva; b) o CBPF não garante o cumprimento das obrigações assumidas pelo particular perante o Poder Público; e c) constitui exigência excessiva, uma vez que o efetivo registro dos materiais e insumos pressupõe a adoção prévia, pelo fabricante, das boas práticas de fabricação.</w:t>
      </w:r>
    </w:p>
    <w:p>
      <w:pPr>
        <w:widowControl w:val="0"/>
        <w:tabs>
          <w:tab w:val="left" w:pos="622"/>
        </w:tabs>
        <w:autoSpaceDE w:val="0"/>
        <w:autoSpaceDN w:val="0"/>
        <w:spacing w:line="360" w:lineRule="auto"/>
        <w:ind w:right="191"/>
        <w:jc w:val="both"/>
        <w:rPr>
          <w:rFonts w:hint="default" w:ascii="Times New Roman" w:hAnsi="Times New Roman" w:cs="Times New Roman"/>
        </w:rPr>
      </w:pPr>
      <w:r>
        <w:rPr>
          <w:rFonts w:hint="default" w:ascii="Times New Roman" w:hAnsi="Times New Roman" w:cs="Times New Roman"/>
        </w:rPr>
        <w:t xml:space="preserve">5.1.6. Para exigência da apresentação dos documentos de regularidade técnica das empresas vencedoras na fase de habilitação, foi considerado que para funcionamento e exercício das atividades de armazenamento, transporte e comercialização dos materiais e insumos, nenhuma empresa poderia estar regular tecnicamente perante os órgãos de controle e fiscalização sem a comprovação exigida. Desta forma, a exigência tem como garantir a aquisição de materiais e insumos. </w:t>
      </w:r>
    </w:p>
    <w:p>
      <w:pPr>
        <w:pStyle w:val="35"/>
        <w:numPr>
          <w:ilvl w:val="0"/>
          <w:numId w:val="8"/>
        </w:numPr>
        <w:rPr>
          <w:rFonts w:hint="default" w:ascii="Times New Roman" w:hAnsi="Times New Roman" w:cs="Times New Roman"/>
          <w:color w:val="auto"/>
        </w:rPr>
      </w:pPr>
      <w:r>
        <w:rPr>
          <w:rFonts w:hint="default" w:ascii="Times New Roman" w:hAnsi="Times New Roman" w:cs="Times New Roman"/>
          <w:color w:val="auto"/>
          <w:lang w:eastAsia="en-US"/>
        </w:rPr>
        <w:t>OBRIGAÇÕES DA CONTRATANTE</w:t>
      </w:r>
    </w:p>
    <w:p>
      <w:pPr>
        <w:numPr>
          <w:ilvl w:val="1"/>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rPr>
        <w:t>São obrigações da Contratante:</w:t>
      </w:r>
    </w:p>
    <w:p>
      <w:pPr>
        <w:numPr>
          <w:ilvl w:val="2"/>
          <w:numId w:val="2"/>
        </w:numPr>
        <w:spacing w:before="120" w:after="120" w:line="276" w:lineRule="auto"/>
        <w:ind w:left="426" w:hanging="426"/>
        <w:jc w:val="both"/>
        <w:rPr>
          <w:rFonts w:hint="default" w:ascii="Times New Roman" w:hAnsi="Times New Roman" w:cs="Times New Roman"/>
          <w:b/>
          <w:szCs w:val="20"/>
        </w:rPr>
      </w:pPr>
      <w:r>
        <w:rPr>
          <w:rFonts w:hint="default" w:ascii="Times New Roman" w:hAnsi="Times New Roman" w:cs="Times New Roman"/>
          <w:szCs w:val="20"/>
        </w:rPr>
        <w:t>receber o objeto no prazo e condições estabelecidas no Edital e seus anexos;</w:t>
      </w:r>
    </w:p>
    <w:p>
      <w:pPr>
        <w:numPr>
          <w:ilvl w:val="2"/>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lang w:eastAsia="en-US"/>
        </w:rPr>
        <w:t>verificar minuciosamente, no prazo fixado, a conformidade dos bens recebidos provisoriamente com as especificações constantes do Edital e da proposta, para fins de aceitação e recebimento definitivo;</w:t>
      </w:r>
    </w:p>
    <w:p>
      <w:pPr>
        <w:numPr>
          <w:ilvl w:val="2"/>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rPr>
        <w:t>comunicar à Contratada, por escrito, sobre imperfeições, falhas ou irregularidades verificadas no objeto fornecido, para que seja substituído, reparado ou corrigido;</w:t>
      </w:r>
    </w:p>
    <w:p>
      <w:pPr>
        <w:numPr>
          <w:ilvl w:val="2"/>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lang w:eastAsia="en-US"/>
        </w:rPr>
        <w:t>acompanhar e fiscalizar o cumprimento das obrigações da Contratada, através de comissão/servidor especialmente designado;</w:t>
      </w:r>
    </w:p>
    <w:p>
      <w:pPr>
        <w:numPr>
          <w:ilvl w:val="2"/>
          <w:numId w:val="2"/>
        </w:numPr>
        <w:spacing w:before="120" w:after="120" w:line="276" w:lineRule="auto"/>
        <w:ind w:left="-142" w:firstLine="142"/>
        <w:jc w:val="both"/>
        <w:rPr>
          <w:rFonts w:hint="default" w:ascii="Times New Roman" w:hAnsi="Times New Roman" w:cs="Times New Roman"/>
          <w:b/>
          <w:szCs w:val="20"/>
        </w:rPr>
      </w:pPr>
      <w:r>
        <w:rPr>
          <w:rFonts w:hint="default" w:ascii="Times New Roman" w:hAnsi="Times New Roman" w:cs="Times New Roman"/>
          <w:szCs w:val="20"/>
        </w:rPr>
        <w:t>efetuar o pagamento à Contratada no valor correspondente ao fornecimento do objeto, no prazo e forma estabelecidos no Edital e seus anexos;</w:t>
      </w:r>
    </w:p>
    <w:p>
      <w:pPr>
        <w:numPr>
          <w:ilvl w:val="1"/>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35"/>
        <w:rPr>
          <w:rFonts w:hint="default" w:ascii="Times New Roman" w:hAnsi="Times New Roman" w:cs="Times New Roman"/>
          <w:color w:val="auto"/>
        </w:rPr>
      </w:pPr>
      <w:r>
        <w:rPr>
          <w:rFonts w:hint="default" w:ascii="Times New Roman" w:hAnsi="Times New Roman" w:cs="Times New Roman"/>
          <w:color w:val="auto"/>
        </w:rPr>
        <w:t>OBRIGAÇÕES DA CONTRATADA</w:t>
      </w:r>
    </w:p>
    <w:p>
      <w:pPr>
        <w:numPr>
          <w:ilvl w:val="1"/>
          <w:numId w:val="2"/>
        </w:numPr>
        <w:spacing w:before="120" w:after="120" w:line="276" w:lineRule="auto"/>
        <w:ind w:left="0" w:firstLine="0"/>
        <w:jc w:val="both"/>
        <w:rPr>
          <w:rFonts w:hint="default" w:ascii="Times New Roman" w:hAnsi="Times New Roman" w:cs="Times New Roman"/>
          <w:b/>
          <w:szCs w:val="20"/>
        </w:rPr>
      </w:pPr>
      <w:r>
        <w:rPr>
          <w:rFonts w:hint="default" w:ascii="Times New Roman" w:hAnsi="Times New Roman" w:cs="Times New Roman"/>
          <w:szCs w:val="20"/>
        </w:rPr>
        <w:t>A Contratada deve cumprir todas as obrigações constantes no Edital, seus anexos e sua proposta, assumindo como exclusivamente seus os riscos e as despesas decorrentes da boa e perfeita execução do objeto e, ainda:</w:t>
      </w:r>
    </w:p>
    <w:p>
      <w:pPr>
        <w:pStyle w:val="21"/>
        <w:numPr>
          <w:ilvl w:val="2"/>
          <w:numId w:val="2"/>
        </w:numPr>
        <w:spacing w:before="120" w:after="120" w:line="276" w:lineRule="auto"/>
        <w:jc w:val="both"/>
        <w:rPr>
          <w:rFonts w:hint="default" w:ascii="Times New Roman" w:hAnsi="Times New Roman" w:cs="Times New Roman"/>
          <w:b/>
          <w:szCs w:val="20"/>
        </w:rPr>
      </w:pPr>
      <w:r>
        <w:rPr>
          <w:rFonts w:hint="default" w:ascii="Times New Roman" w:hAnsi="Times New Roman" w:cs="Times New Roman"/>
          <w:szCs w:val="20"/>
        </w:rPr>
        <w:t xml:space="preserve"> Efetuar a entrega do objeto em perfeitas condições, conforme especificações, prazo e local constantes no Termo de Referência e seus anexos, acompanhado da respectiva nota fiscal, na qual constarão as indicações referentes à marca e modelo;</w:t>
      </w:r>
    </w:p>
    <w:p>
      <w:pPr>
        <w:numPr>
          <w:ilvl w:val="1"/>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 xml:space="preserve">O objeto deve estar acompanhado do manual do usuário, com uma </w:t>
      </w:r>
      <w:r>
        <w:rPr>
          <w:rFonts w:hint="default" w:ascii="Times New Roman" w:hAnsi="Times New Roman" w:cs="Times New Roman"/>
          <w:bCs/>
          <w:iCs/>
          <w:szCs w:val="20"/>
          <w:lang w:eastAsia="en-US"/>
        </w:rPr>
        <w:t>versão</w:t>
      </w:r>
      <w:r>
        <w:rPr>
          <w:rFonts w:hint="default" w:ascii="Times New Roman" w:hAnsi="Times New Roman" w:cs="Times New Roman"/>
          <w:szCs w:val="20"/>
        </w:rPr>
        <w:t xml:space="preserve"> em português e da relação da rede de assistência técnica autorizada; se for o caso.</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responsabilizar-se pelos vícios e danos decorrentes do objeto, de acordo com os artigos 12, 13 e 17 a 27, do Código de Defesa do Consumidor (Lei nº 8.078, de 1990);</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substituir, reparar ou corrigir, às suas expensas, no prazo fixado neste Termo de Referência, o objeto com avarias ou defeitos;</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comunicar à Contratante, no prazo máximo de 24 (vinte e quatro) horas que antecede a data da entrega, os motivos que impossibilitem o cumprimento do prazo previsto, com a devida comprovação;</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manter, durante toda a execução do contrato, em compatibilidade com as obrigações assumidas, todas as condições de habilitação e qualificação exigidas na licitação;</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indicar preposto para representá-la durante a execução do contrato.</w:t>
      </w:r>
    </w:p>
    <w:p>
      <w:pPr>
        <w:pStyle w:val="35"/>
        <w:rPr>
          <w:rFonts w:hint="default" w:ascii="Times New Roman" w:hAnsi="Times New Roman" w:cs="Times New Roman"/>
          <w:color w:val="auto"/>
        </w:rPr>
      </w:pPr>
      <w:r>
        <w:rPr>
          <w:rFonts w:hint="default" w:ascii="Times New Roman" w:hAnsi="Times New Roman" w:cs="Times New Roman"/>
          <w:color w:val="auto"/>
        </w:rPr>
        <w:t>DA SUBCONTRATAÇÃO</w:t>
      </w:r>
    </w:p>
    <w:p>
      <w:pPr>
        <w:spacing w:before="120" w:after="120" w:line="276" w:lineRule="auto"/>
        <w:ind w:left="425" w:hanging="425"/>
        <w:jc w:val="both"/>
        <w:rPr>
          <w:rFonts w:hint="default" w:ascii="Times New Roman" w:hAnsi="Times New Roman" w:cs="Times New Roman"/>
          <w:szCs w:val="20"/>
        </w:rPr>
      </w:pPr>
      <w:r>
        <w:rPr>
          <w:rFonts w:hint="default" w:ascii="Times New Roman" w:hAnsi="Times New Roman" w:cs="Times New Roman"/>
          <w:szCs w:val="20"/>
        </w:rPr>
        <w:t>8.1 Não será admitida a subcontratação do objeto licitatório.</w:t>
      </w:r>
    </w:p>
    <w:p>
      <w:pPr>
        <w:pStyle w:val="35"/>
        <w:rPr>
          <w:rFonts w:hint="default" w:ascii="Times New Roman" w:hAnsi="Times New Roman" w:cs="Times New Roman"/>
          <w:color w:val="auto"/>
          <w:lang w:eastAsia="en-US"/>
        </w:rPr>
      </w:pPr>
      <w:r>
        <w:rPr>
          <w:rFonts w:hint="default" w:ascii="Times New Roman" w:hAnsi="Times New Roman" w:cs="Times New Roman"/>
          <w:color w:val="auto"/>
          <w:lang w:eastAsia="en-US"/>
        </w:rPr>
        <w:t>DA ALTERAÇÃO SUBJETIVA</w:t>
      </w:r>
    </w:p>
    <w:p>
      <w:pPr>
        <w:numPr>
          <w:ilvl w:val="1"/>
          <w:numId w:val="2"/>
        </w:numPr>
        <w:spacing w:before="120" w:after="120" w:line="276" w:lineRule="auto"/>
        <w:ind w:left="0" w:firstLine="0"/>
        <w:jc w:val="both"/>
        <w:rPr>
          <w:rFonts w:hint="default" w:ascii="Times New Roman" w:hAnsi="Times New Roman" w:cs="Times New Roman"/>
          <w:szCs w:val="20"/>
          <w:lang w:eastAsia="en-US"/>
        </w:rPr>
      </w:pPr>
      <w:r>
        <w:rPr>
          <w:rFonts w:hint="default" w:ascii="Times New Roman" w:hAnsi="Times New Roman" w:cs="Times New Roman"/>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35"/>
        <w:rPr>
          <w:rFonts w:hint="default" w:ascii="Times New Roman" w:hAnsi="Times New Roman" w:cs="Times New Roman"/>
          <w:color w:val="auto"/>
          <w:lang w:eastAsia="en-US"/>
        </w:rPr>
      </w:pPr>
      <w:r>
        <w:rPr>
          <w:rFonts w:hint="default" w:ascii="Times New Roman" w:hAnsi="Times New Roman" w:cs="Times New Roman"/>
          <w:color w:val="auto"/>
          <w:lang w:eastAsia="en-US"/>
        </w:rPr>
        <w:t>DO CONTROLE E FISCALIZAÇÃO DA EXECUÇÃO</w:t>
      </w:r>
    </w:p>
    <w:p>
      <w:pPr>
        <w:numPr>
          <w:ilvl w:val="1"/>
          <w:numId w:val="2"/>
        </w:numPr>
        <w:spacing w:before="120" w:after="120" w:line="276" w:lineRule="auto"/>
        <w:ind w:left="0" w:firstLine="0"/>
        <w:jc w:val="both"/>
        <w:rPr>
          <w:rFonts w:hint="default" w:ascii="Times New Roman" w:hAnsi="Times New Roman" w:cs="Times New Roman"/>
          <w:bCs/>
          <w:szCs w:val="20"/>
        </w:rPr>
      </w:pPr>
      <w:r>
        <w:rPr>
          <w:rFonts w:hint="default" w:ascii="Times New Roman" w:hAnsi="Times New Roman" w:cs="Times New Roman"/>
          <w:szCs w:val="20"/>
        </w:rPr>
        <w:t xml:space="preserve">Nos termos do art. 67 Lei nº 8.666, de 1993, </w:t>
      </w:r>
      <w:r>
        <w:rPr>
          <w:rFonts w:hint="default" w:ascii="Times New Roman" w:hAnsi="Times New Roman" w:cs="Times New Roman"/>
          <w:szCs w:val="20"/>
          <w:lang w:val="pt-BR"/>
        </w:rPr>
        <w:t>Valdeir Junio Fialho</w:t>
      </w:r>
      <w:r>
        <w:rPr>
          <w:rFonts w:hint="default" w:ascii="Times New Roman" w:hAnsi="Times New Roman" w:cs="Times New Roman"/>
          <w:szCs w:val="20"/>
        </w:rPr>
        <w:t xml:space="preserve"> e Bethânia Amarante Gomes serão representantes para acompanhar e fiscalizar a entrega dos bens, anotando em registro próprio todas as ocorrências relacionadas com a execução e determinando o que for necessário à regularização de falhas ou defeitos observados.</w:t>
      </w:r>
    </w:p>
    <w:p>
      <w:pPr>
        <w:numPr>
          <w:ilvl w:val="1"/>
          <w:numId w:val="2"/>
        </w:numPr>
        <w:spacing w:before="120" w:after="120" w:line="276" w:lineRule="auto"/>
        <w:ind w:left="0" w:firstLine="0"/>
        <w:jc w:val="both"/>
        <w:rPr>
          <w:rFonts w:hint="default" w:ascii="Times New Roman" w:hAnsi="Times New Roman" w:cs="Times New Roman"/>
          <w:szCs w:val="20"/>
          <w:lang w:eastAsia="en-US"/>
        </w:rPr>
      </w:pPr>
      <w:r>
        <w:rPr>
          <w:rFonts w:hint="default" w:ascii="Times New Roman" w:hAnsi="Times New Roman" w:cs="Times New Roman"/>
          <w:szCs w:val="20"/>
          <w:lang w:eastAsia="en-U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 </w:t>
      </w:r>
    </w:p>
    <w:p>
      <w:pPr>
        <w:numPr>
          <w:ilvl w:val="1"/>
          <w:numId w:val="2"/>
        </w:numPr>
        <w:spacing w:line="276" w:lineRule="auto"/>
        <w:ind w:left="0" w:firstLine="0"/>
        <w:jc w:val="both"/>
        <w:rPr>
          <w:rFonts w:hint="default" w:ascii="Times New Roman" w:hAnsi="Times New Roman" w:cs="Times New Roman"/>
          <w:szCs w:val="20"/>
        </w:rPr>
      </w:pPr>
      <w:r>
        <w:rPr>
          <w:rFonts w:hint="default" w:ascii="Times New Roman" w:hAnsi="Times New Roman" w:cs="Times New Roman"/>
          <w:szCs w:val="20"/>
          <w:lang w:eastAsia="en-US"/>
        </w:rPr>
        <w:t>O representante da Administração anotará em registro próprio todas as ocorrências relacionadas com a execução do contrato, podendo caso necessário indicar dia, mês e ano, bem como o nome dos funcionários eventualmente envolvidos, determinando o que for necessário à regularização das falhas ou defeitos observados e encaminhando os apontamentos à autoridade competente para as providências cabíveis.</w:t>
      </w:r>
    </w:p>
    <w:p>
      <w:pPr>
        <w:spacing w:line="276" w:lineRule="auto"/>
        <w:ind w:left="425"/>
        <w:jc w:val="both"/>
        <w:rPr>
          <w:rFonts w:hint="default" w:ascii="Times New Roman" w:hAnsi="Times New Roman" w:cs="Times New Roman"/>
          <w:szCs w:val="20"/>
        </w:rPr>
      </w:pPr>
    </w:p>
    <w:p>
      <w:pPr>
        <w:pStyle w:val="35"/>
        <w:spacing w:before="0" w:after="0"/>
        <w:ind w:left="0" w:firstLine="0"/>
        <w:rPr>
          <w:rFonts w:hint="default" w:ascii="Times New Roman" w:hAnsi="Times New Roman" w:cs="Times New Roman"/>
          <w:color w:val="auto"/>
        </w:rPr>
      </w:pPr>
      <w:r>
        <w:rPr>
          <w:rFonts w:hint="default" w:ascii="Times New Roman" w:hAnsi="Times New Roman" w:cs="Times New Roman"/>
          <w:color w:val="auto"/>
        </w:rPr>
        <w:t>DO PAGAMENTO</w:t>
      </w:r>
    </w:p>
    <w:p>
      <w:pPr>
        <w:spacing w:line="276" w:lineRule="auto"/>
        <w:ind w:left="425"/>
        <w:jc w:val="both"/>
        <w:rPr>
          <w:rFonts w:hint="default" w:ascii="Times New Roman" w:hAnsi="Times New Roman" w:cs="Times New Roman"/>
          <w:szCs w:val="20"/>
          <w:lang w:eastAsia="en-US"/>
        </w:rPr>
      </w:pPr>
    </w:p>
    <w:p>
      <w:pPr>
        <w:pStyle w:val="21"/>
        <w:numPr>
          <w:ilvl w:val="1"/>
          <w:numId w:val="2"/>
        </w:numPr>
        <w:spacing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lang w:eastAsia="en-US"/>
        </w:rPr>
        <w:t xml:space="preserve">O pagamento será realizado no prazo máximo de até </w:t>
      </w:r>
      <w:r>
        <w:rPr>
          <w:rFonts w:hint="default" w:ascii="Times New Roman" w:hAnsi="Times New Roman" w:cs="Times New Roman"/>
          <w:szCs w:val="20"/>
          <w:lang w:val="pt-BR" w:eastAsia="en-US"/>
        </w:rPr>
        <w:t>10</w:t>
      </w:r>
      <w:r>
        <w:rPr>
          <w:rFonts w:hint="default" w:ascii="Times New Roman" w:hAnsi="Times New Roman" w:cs="Times New Roman"/>
          <w:szCs w:val="20"/>
          <w:lang w:eastAsia="en-US"/>
        </w:rPr>
        <w:t xml:space="preserve"> (</w:t>
      </w:r>
      <w:r>
        <w:rPr>
          <w:rFonts w:hint="default" w:ascii="Times New Roman" w:hAnsi="Times New Roman" w:cs="Times New Roman"/>
          <w:szCs w:val="20"/>
          <w:lang w:val="pt-BR" w:eastAsia="en-US"/>
        </w:rPr>
        <w:t>dez</w:t>
      </w:r>
      <w:r>
        <w:rPr>
          <w:rFonts w:hint="default" w:ascii="Times New Roman" w:hAnsi="Times New Roman" w:cs="Times New Roman"/>
          <w:szCs w:val="20"/>
          <w:lang w:eastAsia="en-US"/>
        </w:rPr>
        <w:t xml:space="preserve">) dias úteis, contados a partir </w:t>
      </w:r>
      <w:r>
        <w:rPr>
          <w:rFonts w:hint="default" w:ascii="Times New Roman" w:hAnsi="Times New Roman" w:cs="Times New Roman"/>
          <w:szCs w:val="20"/>
        </w:rPr>
        <w:t xml:space="preserve">do recebimento da Nota Fiscal, </w:t>
      </w:r>
      <w:r>
        <w:rPr>
          <w:rFonts w:hint="default" w:ascii="Times New Roman" w:hAnsi="Times New Roman" w:cs="Times New Roman"/>
          <w:szCs w:val="20"/>
          <w:lang w:eastAsia="en-US"/>
        </w:rPr>
        <w:t>através de ordem bancária, para crédito em banco e mediante conferência pelo setor responsável.</w:t>
      </w:r>
    </w:p>
    <w:p>
      <w:pPr>
        <w:pStyle w:val="21"/>
        <w:numPr>
          <w:ilvl w:val="1"/>
          <w:numId w:val="2"/>
        </w:numPr>
        <w:spacing w:before="120" w:after="120" w:line="276" w:lineRule="auto"/>
        <w:ind w:left="284" w:hanging="284"/>
        <w:contextualSpacing w:val="0"/>
        <w:jc w:val="both"/>
        <w:rPr>
          <w:rFonts w:hint="default" w:ascii="Times New Roman" w:hAnsi="Times New Roman" w:cs="Times New Roman"/>
          <w:strike/>
          <w:szCs w:val="20"/>
        </w:rPr>
      </w:pPr>
      <w:r>
        <w:rPr>
          <w:rFonts w:hint="default" w:ascii="Times New Roman" w:hAnsi="Times New Roman" w:cs="Times New Roman"/>
          <w:szCs w:val="20"/>
        </w:rPr>
        <w:t>Considera-se ocorrido o recebimento da nota fiscal ou fatura no momento em que o órgão contratante atestar a execução do objeto do contrato.</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lang w:eastAsia="en-US"/>
        </w:rPr>
      </w:pPr>
      <w:r>
        <w:rPr>
          <w:rFonts w:hint="default" w:ascii="Times New Roman" w:hAnsi="Times New Roman" w:cs="Times New Roman"/>
          <w:szCs w:val="20"/>
          <w:lang w:eastAsia="en-US"/>
        </w:rPr>
        <w:t xml:space="preserve">Havendo erro na apresentação da Nota Fiscal ou dos documentos pertinentes à contratação, ou, ainda, circunstância que impeça a liquidação da despesa, como, por exemplo, </w:t>
      </w:r>
      <w:r>
        <w:rPr>
          <w:rFonts w:hint="default" w:ascii="Times New Roman" w:hAnsi="Times New Roman" w:cs="Times New Roman"/>
          <w:szCs w:val="20"/>
        </w:rPr>
        <w:t>obrigação financeira pendente, decorrente de penalidade imposta ou inadimplência,</w:t>
      </w:r>
      <w:r>
        <w:rPr>
          <w:rFonts w:hint="default" w:ascii="Times New Roman" w:hAnsi="Times New Roman" w:cs="Times New Roman"/>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tabs>
          <w:tab w:val="left" w:pos="1701"/>
        </w:tabs>
        <w:spacing w:before="120" w:after="120" w:line="276" w:lineRule="auto"/>
        <w:ind w:left="284" w:hanging="284"/>
        <w:jc w:val="both"/>
        <w:rPr>
          <w:rFonts w:hint="default" w:ascii="Times New Roman" w:hAnsi="Times New Roman" w:cs="Times New Roman"/>
          <w:szCs w:val="20"/>
        </w:rPr>
      </w:pPr>
      <w:r>
        <w:rPr>
          <w:rFonts w:hint="default" w:ascii="Times New Roman" w:hAnsi="Times New Roman" w:cs="Times New Roman"/>
          <w:szCs w:val="20"/>
        </w:rPr>
        <w:t>EM = I x N x VP, sendo:</w:t>
      </w:r>
    </w:p>
    <w:p>
      <w:pPr>
        <w:tabs>
          <w:tab w:val="left" w:pos="1701"/>
        </w:tabs>
        <w:spacing w:before="120" w:after="120" w:line="276" w:lineRule="auto"/>
        <w:ind w:left="284" w:hanging="284"/>
        <w:jc w:val="both"/>
        <w:rPr>
          <w:rFonts w:hint="default" w:ascii="Times New Roman" w:hAnsi="Times New Roman" w:cs="Times New Roman"/>
          <w:snapToGrid w:val="0"/>
          <w:szCs w:val="20"/>
        </w:rPr>
      </w:pPr>
      <w:r>
        <w:rPr>
          <w:rFonts w:hint="default" w:ascii="Times New Roman" w:hAnsi="Times New Roman" w:cs="Times New Roman"/>
          <w:snapToGrid w:val="0"/>
          <w:szCs w:val="20"/>
        </w:rPr>
        <w:t>EM = Encargos moratórios;</w:t>
      </w:r>
    </w:p>
    <w:p>
      <w:pPr>
        <w:tabs>
          <w:tab w:val="left" w:pos="1701"/>
        </w:tabs>
        <w:spacing w:before="120" w:after="120" w:line="276" w:lineRule="auto"/>
        <w:ind w:left="284" w:hanging="284"/>
        <w:jc w:val="both"/>
        <w:rPr>
          <w:rFonts w:hint="default" w:ascii="Times New Roman" w:hAnsi="Times New Roman" w:cs="Times New Roman"/>
          <w:szCs w:val="20"/>
        </w:rPr>
      </w:pPr>
      <w:r>
        <w:rPr>
          <w:rFonts w:hint="default" w:ascii="Times New Roman" w:hAnsi="Times New Roman" w:cs="Times New Roman"/>
          <w:szCs w:val="20"/>
        </w:rPr>
        <w:t>N = Número de dias entre a data prevista para o pagamento e a do efetivo pagamento;</w:t>
      </w:r>
    </w:p>
    <w:p>
      <w:pPr>
        <w:tabs>
          <w:tab w:val="left" w:pos="1701"/>
        </w:tabs>
        <w:spacing w:before="120" w:after="120" w:line="276" w:lineRule="auto"/>
        <w:ind w:left="284" w:hanging="284"/>
        <w:jc w:val="both"/>
        <w:rPr>
          <w:rFonts w:hint="default" w:ascii="Times New Roman" w:hAnsi="Times New Roman" w:cs="Times New Roman"/>
          <w:szCs w:val="20"/>
        </w:rPr>
      </w:pPr>
      <w:r>
        <w:rPr>
          <w:rFonts w:hint="default" w:ascii="Times New Roman" w:hAnsi="Times New Roman" w:cs="Times New Roman"/>
          <w:szCs w:val="20"/>
        </w:rPr>
        <w:t>VP = Valor da parcela a ser paga.</w:t>
      </w:r>
    </w:p>
    <w:p>
      <w:pPr>
        <w:tabs>
          <w:tab w:val="left" w:pos="1701"/>
        </w:tabs>
        <w:spacing w:before="120" w:after="120" w:line="276" w:lineRule="auto"/>
        <w:ind w:left="284" w:hanging="284"/>
        <w:jc w:val="both"/>
        <w:rPr>
          <w:rFonts w:hint="default" w:ascii="Times New Roman" w:hAnsi="Times New Roman" w:cs="Times New Roman"/>
          <w:szCs w:val="20"/>
        </w:rPr>
      </w:pPr>
      <w:r>
        <w:rPr>
          <w:rFonts w:hint="default" w:ascii="Times New Roman" w:hAnsi="Times New Roman" w:cs="Times New Roman"/>
          <w:snapToGrid w:val="0"/>
          <w:szCs w:val="20"/>
        </w:rPr>
        <w:t xml:space="preserve">I = Índice de compensação financeira = </w:t>
      </w:r>
      <w:r>
        <w:rPr>
          <w:rFonts w:hint="default" w:ascii="Times New Roman" w:hAnsi="Times New Roman" w:cs="Times New Roman"/>
          <w:szCs w:val="20"/>
        </w:rPr>
        <w:t>0,00016438, assim apurado:</w:t>
      </w:r>
    </w:p>
    <w:tbl>
      <w:tblPr>
        <w:tblStyle w:val="20"/>
        <w:tblW w:w="0" w:type="auto"/>
        <w:tblInd w:w="4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14"/>
        <w:gridCol w:w="613"/>
        <w:gridCol w:w="1276"/>
        <w:gridCol w:w="47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14" w:type="dxa"/>
            <w:vAlign w:val="center"/>
          </w:tcPr>
          <w:p>
            <w:pPr>
              <w:tabs>
                <w:tab w:val="left" w:pos="1701"/>
              </w:tabs>
              <w:ind w:left="284" w:hanging="284"/>
              <w:jc w:val="center"/>
              <w:rPr>
                <w:rFonts w:hint="default" w:ascii="Times New Roman" w:hAnsi="Times New Roman" w:cs="Times New Roman" w:eastAsiaTheme="minorEastAsia"/>
                <w:szCs w:val="20"/>
                <w:lang w:eastAsia="en-US"/>
              </w:rPr>
            </w:pPr>
            <w:r>
              <w:rPr>
                <w:rFonts w:hint="default" w:ascii="Times New Roman" w:hAnsi="Times New Roman" w:cs="Times New Roman" w:eastAsiaTheme="minorEastAsia"/>
                <w:szCs w:val="20"/>
                <w:lang w:eastAsia="en-US"/>
              </w:rPr>
              <w:t>I = (TX)</w:t>
            </w:r>
          </w:p>
        </w:tc>
        <w:tc>
          <w:tcPr>
            <w:tcW w:w="588" w:type="dxa"/>
            <w:vAlign w:val="center"/>
          </w:tcPr>
          <w:p>
            <w:pPr>
              <w:tabs>
                <w:tab w:val="left" w:pos="1701"/>
              </w:tabs>
              <w:ind w:left="284" w:hanging="284"/>
              <w:rPr>
                <w:rFonts w:hint="default" w:ascii="Times New Roman" w:hAnsi="Times New Roman" w:cs="Times New Roman" w:eastAsiaTheme="minorEastAsia"/>
                <w:szCs w:val="20"/>
                <w:lang w:eastAsia="en-US"/>
              </w:rPr>
            </w:pPr>
            <w:r>
              <w:rPr>
                <w:rFonts w:hint="default" w:ascii="Times New Roman" w:hAnsi="Times New Roman" w:cs="Times New Roman" w:eastAsiaTheme="minorEastAsia"/>
                <w:szCs w:val="20"/>
                <w:lang w:eastAsia="en-US"/>
              </w:rPr>
              <w:t xml:space="preserve">I = </w:t>
            </w:r>
          </w:p>
        </w:tc>
        <w:tc>
          <w:tcPr>
            <w:tcW w:w="1276" w:type="dxa"/>
            <w:tcBorders>
              <w:bottom w:val="single" w:color="auto" w:sz="4" w:space="0"/>
            </w:tcBorders>
          </w:tcPr>
          <w:p>
            <w:pPr>
              <w:tabs>
                <w:tab w:val="left" w:pos="1701"/>
              </w:tabs>
              <w:ind w:left="284" w:hanging="284"/>
              <w:jc w:val="center"/>
              <w:rPr>
                <w:rFonts w:hint="default" w:ascii="Times New Roman" w:hAnsi="Times New Roman" w:cs="Times New Roman" w:eastAsiaTheme="minorEastAsia"/>
                <w:szCs w:val="20"/>
                <w:lang w:eastAsia="en-US"/>
              </w:rPr>
            </w:pPr>
            <w:r>
              <w:rPr>
                <w:rFonts w:hint="default" w:ascii="Times New Roman" w:hAnsi="Times New Roman" w:cs="Times New Roman" w:eastAsiaTheme="minorEastAsia"/>
                <w:szCs w:val="20"/>
                <w:lang w:eastAsia="en-US"/>
              </w:rPr>
              <w:t>( 6 / 100 )</w:t>
            </w:r>
          </w:p>
        </w:tc>
        <w:tc>
          <w:tcPr>
            <w:tcW w:w="4784" w:type="dxa"/>
            <w:vAlign w:val="center"/>
          </w:tcPr>
          <w:p>
            <w:pPr>
              <w:tabs>
                <w:tab w:val="left" w:pos="1701"/>
              </w:tabs>
              <w:ind w:left="284" w:hanging="284"/>
              <w:rPr>
                <w:rFonts w:hint="default" w:ascii="Times New Roman" w:hAnsi="Times New Roman" w:cs="Times New Roman" w:eastAsiaTheme="minorEastAsia"/>
                <w:szCs w:val="20"/>
                <w:lang w:eastAsia="en-US"/>
              </w:rPr>
            </w:pPr>
            <w:r>
              <w:rPr>
                <w:rFonts w:hint="default" w:ascii="Times New Roman" w:hAnsi="Times New Roman" w:cs="Times New Roman" w:eastAsiaTheme="minorEastAsia"/>
                <w:szCs w:val="20"/>
                <w:lang w:eastAsia="en-US"/>
              </w:rPr>
              <w:t>I = 0,00016438</w:t>
            </w:r>
          </w:p>
          <w:p>
            <w:pPr>
              <w:tabs>
                <w:tab w:val="left" w:pos="1701"/>
              </w:tabs>
              <w:ind w:left="284" w:hanging="284"/>
              <w:rPr>
                <w:rFonts w:hint="default" w:ascii="Times New Roman" w:hAnsi="Times New Roman" w:cs="Times New Roman" w:eastAsiaTheme="minorEastAsia"/>
                <w:szCs w:val="20"/>
                <w:lang w:eastAsia="en-US"/>
              </w:rPr>
            </w:pPr>
            <w:r>
              <w:rPr>
                <w:rFonts w:hint="default" w:ascii="Times New Roman" w:hAnsi="Times New Roman" w:cs="Times New Roman" w:eastAsiaTheme="minorEastAsia"/>
                <w:szCs w:val="20"/>
                <w:lang w:eastAsia="en-US"/>
              </w:rPr>
              <w:t>TX = Percentual da taxa anual = 6%</w:t>
            </w:r>
          </w:p>
        </w:tc>
      </w:tr>
    </w:tbl>
    <w:p>
      <w:pPr>
        <w:ind w:left="284" w:hanging="284"/>
        <w:rPr>
          <w:rFonts w:hint="default" w:ascii="Times New Roman" w:hAnsi="Times New Roman" w:cs="Times New Roman"/>
          <w:szCs w:val="20"/>
        </w:rPr>
      </w:pPr>
      <w:r>
        <w:rPr>
          <w:rFonts w:hint="default" w:ascii="Times New Roman" w:hAnsi="Times New Roman" w:cs="Times New Roman"/>
          <w:szCs w:val="20"/>
        </w:rPr>
        <w:t xml:space="preserve">                                                            365</w:t>
      </w:r>
    </w:p>
    <w:p>
      <w:pPr>
        <w:pStyle w:val="35"/>
        <w:ind w:left="284" w:hanging="284"/>
        <w:rPr>
          <w:rFonts w:hint="default" w:ascii="Times New Roman" w:hAnsi="Times New Roman" w:cs="Times New Roman"/>
          <w:color w:val="auto"/>
        </w:rPr>
      </w:pPr>
      <w:r>
        <w:rPr>
          <w:rFonts w:hint="default" w:ascii="Times New Roman" w:hAnsi="Times New Roman" w:cs="Times New Roman"/>
          <w:color w:val="auto"/>
        </w:rPr>
        <w:t>DO REAJUSTE</w:t>
      </w:r>
    </w:p>
    <w:p>
      <w:pPr>
        <w:ind w:left="284" w:hanging="284"/>
        <w:rPr>
          <w:rFonts w:hint="default" w:ascii="Times New Roman" w:hAnsi="Times New Roman" w:cs="Times New Roman"/>
          <w:szCs w:val="20"/>
        </w:rPr>
      </w:pP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Os preços são fixos e irreajustáveis no prazo de um ano contado da data limite para a apresentação das propostas.</w:t>
      </w:r>
    </w:p>
    <w:p>
      <w:pPr>
        <w:pStyle w:val="21"/>
        <w:numPr>
          <w:ilvl w:val="2"/>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Dentro do prazo de vigência do contrato e mediante solicitação da contratada, os preços contratados poderão sofrer reajuste após o interregno de um ano, aplicando-se o índice IPCA/IBGE exclusivamente para as obrigações iniciadas e concluídas após a ocorrência da anualidade.</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Nos reajustes subsequentes ao primeiro, o interregno mínimo de um ano será contado a partir dos efeitos financeiros do último reajuste.</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Nas aferições finais, o índice utilizado para reajuste será, obrigatoriamente, o definitivo.</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Caso o índice estabelecido para reajustamento venha a ser extinto ou de qualquer forma não possa mais ser utilizado, será adotado, em substituição, o que vier a ser determinado pela legislação então em vigor.</w:t>
      </w:r>
    </w:p>
    <w:p>
      <w:pPr>
        <w:pStyle w:val="21"/>
        <w:numPr>
          <w:ilvl w:val="1"/>
          <w:numId w:val="2"/>
        </w:numPr>
        <w:spacing w:before="120"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 xml:space="preserve">Na ausência de previsão legal quanto ao índice substituto, as partes elegerão novo índice oficial, para reajustamento do preço do valor remanescente, por meio de termo aditivo. </w:t>
      </w:r>
    </w:p>
    <w:p>
      <w:pPr>
        <w:pStyle w:val="21"/>
        <w:numPr>
          <w:ilvl w:val="1"/>
          <w:numId w:val="2"/>
        </w:numPr>
        <w:spacing w:after="120" w:line="276" w:lineRule="auto"/>
        <w:ind w:left="284" w:hanging="284"/>
        <w:contextualSpacing w:val="0"/>
        <w:jc w:val="both"/>
        <w:rPr>
          <w:rFonts w:hint="default" w:ascii="Times New Roman" w:hAnsi="Times New Roman" w:cs="Times New Roman"/>
          <w:szCs w:val="20"/>
        </w:rPr>
      </w:pPr>
      <w:r>
        <w:rPr>
          <w:rFonts w:hint="default" w:ascii="Times New Roman" w:hAnsi="Times New Roman" w:cs="Times New Roman"/>
          <w:szCs w:val="20"/>
        </w:rPr>
        <w:t>O reajuste será realizado por apostilamento.</w:t>
      </w:r>
    </w:p>
    <w:p>
      <w:pPr>
        <w:pStyle w:val="21"/>
        <w:spacing w:after="120" w:line="276" w:lineRule="auto"/>
        <w:ind w:left="284" w:hanging="284"/>
        <w:contextualSpacing w:val="0"/>
        <w:jc w:val="both"/>
        <w:rPr>
          <w:rFonts w:hint="default" w:ascii="Times New Roman" w:hAnsi="Times New Roman" w:cs="Times New Roman"/>
          <w:szCs w:val="20"/>
        </w:rPr>
      </w:pPr>
    </w:p>
    <w:p>
      <w:pPr>
        <w:pStyle w:val="35"/>
        <w:spacing w:before="0"/>
        <w:rPr>
          <w:rFonts w:hint="default" w:ascii="Times New Roman" w:hAnsi="Times New Roman" w:cs="Times New Roman"/>
          <w:color w:val="auto"/>
        </w:rPr>
      </w:pPr>
      <w:r>
        <w:rPr>
          <w:rFonts w:hint="default" w:ascii="Times New Roman" w:hAnsi="Times New Roman" w:cs="Times New Roman"/>
          <w:color w:val="auto"/>
        </w:rPr>
        <w:t>DA GARANTIA DE EXECUÇÃO</w:t>
      </w:r>
    </w:p>
    <w:p>
      <w:pPr>
        <w:numPr>
          <w:ilvl w:val="1"/>
          <w:numId w:val="2"/>
        </w:numPr>
        <w:spacing w:before="120" w:after="120" w:line="276" w:lineRule="auto"/>
        <w:ind w:left="0" w:firstLine="0"/>
        <w:jc w:val="both"/>
        <w:rPr>
          <w:rFonts w:hint="default" w:ascii="Times New Roman" w:hAnsi="Times New Roman" w:cs="Times New Roman"/>
          <w:bCs/>
          <w:iCs/>
          <w:szCs w:val="20"/>
        </w:rPr>
      </w:pPr>
      <w:r>
        <w:rPr>
          <w:rFonts w:hint="default" w:ascii="Times New Roman" w:hAnsi="Times New Roman" w:cs="Times New Roman"/>
          <w:szCs w:val="20"/>
        </w:rPr>
        <w:t xml:space="preserve">Não haverá exigência de garantia contratual da execução, considerando que tal medida propiciará menor preço e maior competitividade;  </w:t>
      </w:r>
    </w:p>
    <w:p>
      <w:pPr>
        <w:pStyle w:val="35"/>
        <w:ind w:left="357" w:hanging="357"/>
        <w:rPr>
          <w:rFonts w:hint="default" w:ascii="Times New Roman" w:hAnsi="Times New Roman" w:cs="Times New Roman"/>
          <w:color w:val="auto"/>
        </w:rPr>
      </w:pPr>
      <w:r>
        <w:rPr>
          <w:rFonts w:hint="default" w:ascii="Times New Roman" w:hAnsi="Times New Roman" w:cs="Times New Roman"/>
          <w:color w:val="auto"/>
        </w:rPr>
        <w:t>DAS SANÇÕES ADMINISTRATIVAS</w:t>
      </w:r>
    </w:p>
    <w:p>
      <w:pPr>
        <w:numPr>
          <w:ilvl w:val="1"/>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comete infração administrativa nos termos da Lei nº 10.520, de 2002, a Contratada que:</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inexecutar total ou parcialmente qualquer das obrigações assumidas em decorrência da contratação;</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ensejar o retardamento da execução do objeto;</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falhar ou fraudar na execução do contrato;</w:t>
      </w:r>
    </w:p>
    <w:p>
      <w:pPr>
        <w:numPr>
          <w:ilvl w:val="2"/>
          <w:numId w:val="2"/>
        </w:numPr>
        <w:spacing w:before="120" w:after="120" w:line="276" w:lineRule="auto"/>
        <w:ind w:left="-567" w:firstLine="567"/>
        <w:jc w:val="both"/>
        <w:rPr>
          <w:rFonts w:hint="default" w:ascii="Times New Roman" w:hAnsi="Times New Roman" w:cs="Times New Roman"/>
          <w:szCs w:val="20"/>
        </w:rPr>
      </w:pPr>
      <w:r>
        <w:rPr>
          <w:rFonts w:hint="default" w:ascii="Times New Roman" w:hAnsi="Times New Roman" w:cs="Times New Roman"/>
          <w:szCs w:val="20"/>
        </w:rPr>
        <w:t>comportar-se de modo inidôneo;</w:t>
      </w:r>
    </w:p>
    <w:p>
      <w:pPr>
        <w:numPr>
          <w:ilvl w:val="2"/>
          <w:numId w:val="2"/>
        </w:numPr>
        <w:spacing w:before="120" w:after="120" w:line="276" w:lineRule="auto"/>
        <w:ind w:left="-567" w:firstLine="567"/>
        <w:jc w:val="both"/>
        <w:rPr>
          <w:rFonts w:hint="default" w:ascii="Times New Roman" w:hAnsi="Times New Roman" w:cs="Times New Roman"/>
          <w:szCs w:val="20"/>
        </w:rPr>
      </w:pPr>
      <w:r>
        <w:rPr>
          <w:rFonts w:hint="default" w:ascii="Times New Roman" w:hAnsi="Times New Roman" w:cs="Times New Roman"/>
          <w:szCs w:val="20"/>
        </w:rPr>
        <w:t>cometer fraude fiscal;</w:t>
      </w:r>
    </w:p>
    <w:p>
      <w:pPr>
        <w:pStyle w:val="21"/>
        <w:numPr>
          <w:ilvl w:val="1"/>
          <w:numId w:val="2"/>
        </w:numPr>
        <w:spacing w:before="120" w:after="120" w:line="276" w:lineRule="auto"/>
        <w:ind w:left="0" w:right="-30" w:firstLine="0"/>
        <w:jc w:val="both"/>
        <w:rPr>
          <w:rFonts w:hint="default" w:ascii="Times New Roman" w:hAnsi="Times New Roman" w:cs="Times New Roman"/>
          <w:szCs w:val="20"/>
        </w:rPr>
      </w:pPr>
      <w:r>
        <w:rPr>
          <w:rFonts w:hint="default" w:ascii="Times New Roman" w:hAnsi="Times New Roman" w:cs="Times New Roman"/>
          <w:szCs w:val="20"/>
        </w:rPr>
        <w:t>Pela inexecução total ou parcial do objeto deste contrato, a Administração pode aplicar à CONTRATADA as seguintes sanções:</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Advertência, por faltas leves, assim entendidas aquelas que não acarretem prejuízos significativos para a Contratante;</w:t>
      </w:r>
    </w:p>
    <w:p>
      <w:pPr>
        <w:numPr>
          <w:ilvl w:val="2"/>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szCs w:val="20"/>
        </w:rPr>
        <w:t>multa moratória de 10% (dez por cento) por dia de atraso injustificado sobre o valor da parcela inadimplida, até o limite de 10 (dez) dias corridos;</w:t>
      </w:r>
    </w:p>
    <w:p>
      <w:pPr>
        <w:numPr>
          <w:ilvl w:val="2"/>
          <w:numId w:val="2"/>
        </w:numPr>
        <w:tabs>
          <w:tab w:val="left" w:pos="0"/>
        </w:tabs>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multa compensatória de 10% (dez por cento) sobre o valor total do contrato, no caso de inexecução total do objeto;</w:t>
      </w:r>
    </w:p>
    <w:p>
      <w:pPr>
        <w:numPr>
          <w:ilvl w:val="2"/>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em caso de inexecução parcial, a multa compensatória, no mesmo percentual do subitem acima, será aplicada de forma proporcional à obrigação inadimplida;</w:t>
      </w:r>
    </w:p>
    <w:p>
      <w:pPr>
        <w:numPr>
          <w:ilvl w:val="2"/>
          <w:numId w:val="2"/>
        </w:numPr>
        <w:spacing w:before="120" w:after="120" w:line="276" w:lineRule="auto"/>
        <w:ind w:left="142" w:hanging="709"/>
        <w:jc w:val="both"/>
        <w:rPr>
          <w:rFonts w:hint="default" w:ascii="Times New Roman" w:hAnsi="Times New Roman" w:cs="Times New Roman"/>
          <w:b/>
          <w:szCs w:val="20"/>
          <w:u w:val="single"/>
        </w:rPr>
      </w:pPr>
      <w:r>
        <w:rPr>
          <w:rFonts w:hint="default" w:ascii="Times New Roman" w:hAnsi="Times New Roman" w:cs="Times New Roman"/>
          <w:szCs w:val="20"/>
        </w:rPr>
        <w:t>suspensão de licitar e impedimento de contratar com o órgão, entidade ou unidade administrativa pela qual a Administração Pública opera e atua concretamente, pelo prazo de até dois anos;</w:t>
      </w:r>
    </w:p>
    <w:p>
      <w:pPr>
        <w:numPr>
          <w:ilvl w:val="2"/>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impedimento de licitar e contratar com órgãos e entidades da União com o consequente descredenciamento no SICAF pelo prazo de até cinco anos;</w:t>
      </w:r>
    </w:p>
    <w:p>
      <w:pPr>
        <w:pStyle w:val="45"/>
        <w:numPr>
          <w:ilvl w:val="3"/>
          <w:numId w:val="2"/>
        </w:numPr>
        <w:tabs>
          <w:tab w:val="left" w:pos="709"/>
        </w:tabs>
        <w:spacing w:before="120" w:after="120" w:line="276" w:lineRule="auto"/>
        <w:ind w:left="284" w:right="-30" w:hanging="851"/>
        <w:jc w:val="both"/>
        <w:rPr>
          <w:rFonts w:hint="default" w:ascii="Times New Roman" w:hAnsi="Times New Roman" w:cs="Times New Roman"/>
          <w:sz w:val="20"/>
          <w:szCs w:val="20"/>
        </w:rPr>
      </w:pPr>
      <w:r>
        <w:rPr>
          <w:rFonts w:hint="default" w:ascii="Times New Roman" w:hAnsi="Times New Roman" w:cs="Times New Roman"/>
          <w:sz w:val="20"/>
          <w:szCs w:val="20"/>
        </w:rPr>
        <w:t>A Sanção de impedimento de licitar e contratar prevista neste subitem também é aplicável em quaisquer das hipóteses previstas como infração administrativa no subitem 14.1 deste Termo de Referência.</w:t>
      </w:r>
    </w:p>
    <w:p>
      <w:pPr>
        <w:numPr>
          <w:ilvl w:val="2"/>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numPr>
          <w:ilvl w:val="1"/>
          <w:numId w:val="2"/>
        </w:numPr>
        <w:spacing w:before="120" w:after="120" w:line="276" w:lineRule="auto"/>
        <w:ind w:left="-567" w:right="-30" w:firstLine="0"/>
        <w:jc w:val="both"/>
        <w:rPr>
          <w:rFonts w:hint="default" w:ascii="Times New Roman" w:hAnsi="Times New Roman" w:cs="Times New Roman"/>
          <w:szCs w:val="20"/>
        </w:rPr>
      </w:pPr>
      <w:r>
        <w:rPr>
          <w:rFonts w:hint="default" w:ascii="Times New Roman" w:hAnsi="Times New Roman" w:cs="Times New Roman"/>
          <w:szCs w:val="20"/>
        </w:rPr>
        <w:t>As sanções previstas nos subitens 1</w:t>
      </w:r>
      <w:r>
        <w:rPr>
          <w:rFonts w:hint="default" w:ascii="Times New Roman" w:hAnsi="Times New Roman" w:cs="Times New Roman"/>
          <w:szCs w:val="20"/>
          <w:lang w:val="pt-BR"/>
        </w:rPr>
        <w:t>4</w:t>
      </w:r>
      <w:r>
        <w:rPr>
          <w:rFonts w:hint="default" w:ascii="Times New Roman" w:hAnsi="Times New Roman" w:cs="Times New Roman"/>
          <w:szCs w:val="20"/>
        </w:rPr>
        <w:t>.2.1, 1</w:t>
      </w:r>
      <w:r>
        <w:rPr>
          <w:rFonts w:hint="default" w:ascii="Times New Roman" w:hAnsi="Times New Roman" w:cs="Times New Roman"/>
          <w:szCs w:val="20"/>
          <w:lang w:val="pt-BR"/>
        </w:rPr>
        <w:t>4</w:t>
      </w:r>
      <w:r>
        <w:rPr>
          <w:rFonts w:hint="default" w:ascii="Times New Roman" w:hAnsi="Times New Roman" w:cs="Times New Roman"/>
          <w:szCs w:val="20"/>
        </w:rPr>
        <w:t>.2.5,1</w:t>
      </w:r>
      <w:r>
        <w:rPr>
          <w:rFonts w:hint="default" w:ascii="Times New Roman" w:hAnsi="Times New Roman" w:cs="Times New Roman"/>
          <w:szCs w:val="20"/>
          <w:lang w:val="pt-BR"/>
        </w:rPr>
        <w:t>4</w:t>
      </w:r>
      <w:r>
        <w:rPr>
          <w:rFonts w:hint="default" w:ascii="Times New Roman" w:hAnsi="Times New Roman" w:cs="Times New Roman"/>
          <w:szCs w:val="20"/>
        </w:rPr>
        <w:t>.2.6 e 1</w:t>
      </w:r>
      <w:r>
        <w:rPr>
          <w:rFonts w:hint="default" w:ascii="Times New Roman" w:hAnsi="Times New Roman" w:cs="Times New Roman"/>
          <w:szCs w:val="20"/>
          <w:lang w:val="pt-BR"/>
        </w:rPr>
        <w:t>4</w:t>
      </w:r>
      <w:r>
        <w:rPr>
          <w:rFonts w:hint="default" w:ascii="Times New Roman" w:hAnsi="Times New Roman" w:cs="Times New Roman"/>
          <w:szCs w:val="20"/>
        </w:rPr>
        <w:t>.2.7 poderão ser aplicadas à CONTRATADA juntamente com as de multa, descontando-a dos pagamentos a serem efetuados.</w:t>
      </w:r>
    </w:p>
    <w:p>
      <w:pPr>
        <w:numPr>
          <w:ilvl w:val="1"/>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Também ficam sujeitas às penalidades do art. 87, III e IV da Lei nº 8.666, de 1993, as empresas ou profissionais que:</w:t>
      </w:r>
    </w:p>
    <w:p>
      <w:pPr>
        <w:numPr>
          <w:ilvl w:val="2"/>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tenham sofrido condenação definitiva por praticar, por meio dolosos, fraude fiscal no recolhimento de quaisquer tributos;</w:t>
      </w:r>
    </w:p>
    <w:p>
      <w:pPr>
        <w:numPr>
          <w:ilvl w:val="2"/>
          <w:numId w:val="2"/>
        </w:numPr>
        <w:spacing w:before="120" w:after="120" w:line="276" w:lineRule="auto"/>
        <w:ind w:left="-567" w:firstLine="0"/>
        <w:jc w:val="both"/>
        <w:rPr>
          <w:rFonts w:hint="default" w:ascii="Times New Roman" w:hAnsi="Times New Roman" w:cs="Times New Roman"/>
          <w:szCs w:val="20"/>
        </w:rPr>
      </w:pPr>
      <w:r>
        <w:rPr>
          <w:rFonts w:hint="default" w:ascii="Times New Roman" w:hAnsi="Times New Roman" w:cs="Times New Roman"/>
          <w:szCs w:val="20"/>
        </w:rPr>
        <w:t>tenham praticado atos ilícitos visando a frustrar os objetivos da licitação;</w:t>
      </w:r>
    </w:p>
    <w:p>
      <w:pPr>
        <w:numPr>
          <w:ilvl w:val="2"/>
          <w:numId w:val="2"/>
        </w:numPr>
        <w:spacing w:before="240" w:after="120" w:line="276" w:lineRule="auto"/>
        <w:ind w:left="-567" w:right="-17" w:firstLine="0"/>
        <w:jc w:val="both"/>
        <w:rPr>
          <w:rFonts w:hint="default" w:ascii="Times New Roman" w:hAnsi="Times New Roman" w:cs="Times New Roman"/>
          <w:szCs w:val="20"/>
        </w:rPr>
      </w:pPr>
      <w:r>
        <w:rPr>
          <w:rFonts w:hint="default" w:ascii="Times New Roman" w:hAnsi="Times New Roman" w:cs="Times New Roman"/>
          <w:szCs w:val="20"/>
        </w:rPr>
        <w:t>demonstrem não possuir idoneidade para contratar com a Administração em virtude de atos ilícitos praticados.</w:t>
      </w:r>
    </w:p>
    <w:p>
      <w:pPr>
        <w:numPr>
          <w:ilvl w:val="1"/>
          <w:numId w:val="2"/>
        </w:numPr>
        <w:spacing w:before="120" w:after="120"/>
        <w:ind w:left="-567" w:firstLine="0"/>
        <w:jc w:val="both"/>
        <w:rPr>
          <w:rFonts w:hint="default" w:ascii="Times New Roman" w:hAnsi="Times New Roman" w:cs="Times New Roman"/>
          <w:szCs w:val="20"/>
        </w:rPr>
      </w:pPr>
      <w:r>
        <w:rPr>
          <w:rFonts w:hint="default" w:ascii="Times New Roman" w:hAnsi="Times New Roman" w:cs="Times New Roman"/>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numPr>
          <w:ilvl w:val="1"/>
          <w:numId w:val="2"/>
        </w:numPr>
        <w:spacing w:before="120" w:after="120"/>
        <w:ind w:left="-567" w:right="-30" w:firstLine="0"/>
        <w:jc w:val="both"/>
        <w:rPr>
          <w:rFonts w:hint="default" w:ascii="Times New Roman" w:hAnsi="Times New Roman" w:cs="Times New Roman"/>
          <w:szCs w:val="20"/>
        </w:rPr>
      </w:pPr>
      <w:r>
        <w:rPr>
          <w:rFonts w:hint="default" w:ascii="Times New Roman" w:hAnsi="Times New Roman" w:cs="Times New Roman"/>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pPr>
        <w:numPr>
          <w:ilvl w:val="2"/>
          <w:numId w:val="2"/>
        </w:numPr>
        <w:spacing w:before="120" w:after="120"/>
        <w:ind w:left="-567" w:right="-30" w:firstLine="0"/>
        <w:jc w:val="both"/>
        <w:rPr>
          <w:rFonts w:hint="default" w:ascii="Times New Roman" w:hAnsi="Times New Roman" w:cs="Times New Roman"/>
          <w:szCs w:val="20"/>
        </w:rPr>
      </w:pPr>
      <w:r>
        <w:rPr>
          <w:rFonts w:hint="default" w:ascii="Times New Roman" w:hAnsi="Times New Roman" w:cs="Times New Roman"/>
          <w:szCs w:val="20"/>
        </w:rPr>
        <w:t>Caso a Contratante determine, a multa deverá ser recolhida no prazo máximo de 05 (cinco) dias úteis, a contar da data do recebimento da comunicação enviada pela autoridade competente.</w:t>
      </w:r>
    </w:p>
    <w:p>
      <w:pPr>
        <w:numPr>
          <w:ilvl w:val="1"/>
          <w:numId w:val="2"/>
        </w:numPr>
        <w:spacing w:before="120" w:after="120"/>
        <w:ind w:left="-567" w:right="-30" w:firstLine="0"/>
        <w:jc w:val="both"/>
        <w:rPr>
          <w:rFonts w:hint="default" w:ascii="Times New Roman" w:hAnsi="Times New Roman" w:cs="Times New Roman"/>
          <w:szCs w:val="20"/>
        </w:rPr>
      </w:pPr>
      <w:r>
        <w:rPr>
          <w:rFonts w:hint="default" w:ascii="Times New Roman" w:hAnsi="Times New Roman" w:cs="Times New Roman"/>
          <w:szCs w:val="20"/>
        </w:rPr>
        <w:t>Caso o valor da multa não seja suficiente para cobrir os prejuízos causados pela conduta do licitante, o CISMIV poderá cobrar o valor remanescente judicialmente, conforme artigo 419 do Código Civil.</w:t>
      </w:r>
    </w:p>
    <w:p>
      <w:pPr>
        <w:numPr>
          <w:ilvl w:val="1"/>
          <w:numId w:val="2"/>
        </w:numPr>
        <w:tabs>
          <w:tab w:val="left" w:pos="0"/>
        </w:tabs>
        <w:spacing w:before="120" w:after="120"/>
        <w:ind w:left="284" w:right="-30" w:hanging="284"/>
        <w:jc w:val="both"/>
        <w:rPr>
          <w:rFonts w:hint="default" w:ascii="Times New Roman" w:hAnsi="Times New Roman" w:cs="Times New Roman"/>
          <w:szCs w:val="20"/>
        </w:rPr>
      </w:pPr>
      <w:r>
        <w:rPr>
          <w:rFonts w:hint="default"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pPr>
        <w:pStyle w:val="46"/>
        <w:numPr>
          <w:ilvl w:val="1"/>
          <w:numId w:val="2"/>
        </w:numPr>
        <w:spacing w:line="240" w:lineRule="auto"/>
        <w:ind w:left="284" w:firstLine="0"/>
        <w:rPr>
          <w:rFonts w:hint="default" w:ascii="Times New Roman" w:hAnsi="Times New Roman" w:cs="Times New Roman"/>
        </w:rPr>
      </w:pPr>
      <w:r>
        <w:rPr>
          <w:rFonts w:hint="default" w:ascii="Times New Roman" w:hAnsi="Times New Roman" w:cs="Times New Roman"/>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46"/>
        <w:numPr>
          <w:ilvl w:val="1"/>
          <w:numId w:val="2"/>
        </w:numPr>
        <w:spacing w:line="240" w:lineRule="auto"/>
        <w:ind w:left="284" w:firstLine="0"/>
        <w:rPr>
          <w:rFonts w:hint="default" w:ascii="Times New Roman" w:hAnsi="Times New Roman" w:cs="Times New Roman"/>
        </w:rPr>
      </w:pPr>
      <w:r>
        <w:rPr>
          <w:rFonts w:hint="default" w:ascii="Times New Roman" w:hAnsi="Times New Roman" w:cs="Times New Roman"/>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46"/>
        <w:numPr>
          <w:ilvl w:val="1"/>
          <w:numId w:val="2"/>
        </w:numPr>
        <w:spacing w:line="240" w:lineRule="auto"/>
        <w:ind w:left="284" w:firstLine="0"/>
        <w:rPr>
          <w:rFonts w:hint="default" w:ascii="Times New Roman" w:hAnsi="Times New Roman" w:cs="Times New Roman"/>
        </w:rPr>
      </w:pPr>
      <w:r>
        <w:rPr>
          <w:rFonts w:hint="default" w:ascii="Times New Roman" w:hAnsi="Times New Roman" w:cs="Times New Roman"/>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numPr>
          <w:ilvl w:val="1"/>
          <w:numId w:val="2"/>
        </w:numPr>
        <w:spacing w:before="120" w:after="120"/>
        <w:ind w:left="284" w:firstLine="0"/>
        <w:jc w:val="both"/>
        <w:rPr>
          <w:rFonts w:hint="default" w:ascii="Times New Roman" w:hAnsi="Times New Roman" w:cs="Times New Roman"/>
          <w:szCs w:val="20"/>
        </w:rPr>
      </w:pPr>
      <w:r>
        <w:rPr>
          <w:rFonts w:hint="default" w:ascii="Times New Roman" w:hAnsi="Times New Roman" w:cs="Times New Roman"/>
          <w:szCs w:val="20"/>
        </w:rPr>
        <w:t>As penalidades serão obrigatoriamente registradas no SICAF.</w:t>
      </w:r>
    </w:p>
    <w:p>
      <w:pPr>
        <w:spacing w:before="120" w:after="120"/>
        <w:ind w:left="284"/>
        <w:jc w:val="both"/>
        <w:rPr>
          <w:rFonts w:hint="default" w:ascii="Times New Roman" w:hAnsi="Times New Roman" w:cs="Times New Roman"/>
          <w:szCs w:val="20"/>
        </w:rPr>
      </w:pPr>
    </w:p>
    <w:p>
      <w:pPr>
        <w:pStyle w:val="35"/>
        <w:spacing w:before="120"/>
        <w:ind w:right="-30" w:hanging="76"/>
        <w:rPr>
          <w:rFonts w:hint="default" w:ascii="Times New Roman" w:hAnsi="Times New Roman" w:cs="Times New Roman"/>
          <w:bCs/>
          <w:color w:val="auto"/>
          <w:lang w:val="pt-BR"/>
        </w:rPr>
      </w:pPr>
      <w:r>
        <w:rPr>
          <w:rFonts w:hint="default" w:ascii="Times New Roman" w:hAnsi="Times New Roman" w:cs="Times New Roman"/>
          <w:bCs/>
          <w:color w:val="auto"/>
          <w:lang w:val="pt-BR"/>
        </w:rPr>
        <w:t>OUTRAS DISPOSIÇÕES</w:t>
      </w:r>
    </w:p>
    <w:p>
      <w:pPr>
        <w:rPr>
          <w:rFonts w:hint="default" w:ascii="Times New Roman" w:hAnsi="Times New Roman" w:cs="Times New Roman"/>
          <w:lang w:val="pt-BR"/>
        </w:rPr>
      </w:pPr>
    </w:p>
    <w:p>
      <w:pPr>
        <w:numPr>
          <w:ilvl w:val="1"/>
          <w:numId w:val="2"/>
        </w:numPr>
        <w:spacing w:line="360" w:lineRule="auto"/>
        <w:ind w:left="432" w:leftChars="0" w:hanging="432" w:firstLineChars="0"/>
        <w:rPr>
          <w:rFonts w:hint="default" w:ascii="Times New Roman" w:hAnsi="Times New Roman" w:eastAsia="Times New Roman" w:cs="Times New Roman"/>
          <w:b w:val="0"/>
          <w:bCs w:val="0"/>
          <w:szCs w:val="20"/>
          <w:lang w:val="pt-BR" w:eastAsia="pt-BR" w:bidi="ar-SA"/>
        </w:rPr>
      </w:pPr>
      <w:r>
        <w:rPr>
          <w:rFonts w:hint="default" w:ascii="Times New Roman" w:hAnsi="Times New Roman" w:eastAsia="Times New Roman" w:cs="Times New Roman"/>
          <w:b w:val="0"/>
          <w:bCs w:val="0"/>
          <w:szCs w:val="20"/>
          <w:lang w:val="pt-BR" w:eastAsia="pt-BR" w:bidi="ar-SA"/>
        </w:rPr>
        <w:t xml:space="preserve">Em observância ao interesse público e busca pela proposta mais vantajosa, disposições que devem reger o processo licitatório em registro de preços, o certame deverá ser realizado com valor sigiloso, respeitada a transparência aos órgãos de controle externo e interno. </w:t>
      </w:r>
    </w:p>
    <w:p>
      <w:pPr>
        <w:pStyle w:val="35"/>
        <w:ind w:firstLine="207"/>
        <w:rPr>
          <w:rFonts w:hint="default" w:ascii="Times New Roman" w:hAnsi="Times New Roman" w:cs="Times New Roman"/>
        </w:rPr>
      </w:pPr>
      <w:r>
        <w:rPr>
          <w:rFonts w:hint="default" w:ascii="Times New Roman" w:hAnsi="Times New Roman" w:cs="Times New Roman"/>
        </w:rPr>
        <w:t>DOS RECURSOS ORÇAMENTÁRIOS.</w:t>
      </w:r>
    </w:p>
    <w:p>
      <w:pPr>
        <w:pStyle w:val="21"/>
        <w:spacing w:before="120" w:after="120" w:line="276" w:lineRule="auto"/>
        <w:ind w:left="432" w:right="-30"/>
        <w:jc w:val="both"/>
        <w:rPr>
          <w:rFonts w:hint="default" w:ascii="Times New Roman" w:hAnsi="Times New Roman" w:cs="Times New Roman"/>
          <w:b/>
          <w:szCs w:val="20"/>
        </w:rPr>
      </w:pPr>
      <w:r>
        <w:rPr>
          <w:rFonts w:hint="default" w:ascii="Times New Roman" w:hAnsi="Times New Roman" w:cs="Times New Roman"/>
          <w:szCs w:val="20"/>
        </w:rPr>
        <w:t>Caso haja Contratação, a mesma ocorrerá à conta de dotações orçamentárias próprias e específicas do CISMIV, podendo ser as seguintes dotações do exercício de 202</w:t>
      </w:r>
      <w:r>
        <w:rPr>
          <w:rFonts w:hint="default" w:ascii="Times New Roman" w:hAnsi="Times New Roman" w:cs="Times New Roman"/>
          <w:szCs w:val="20"/>
          <w:lang w:val="pt-BR"/>
        </w:rPr>
        <w:t>3: 01.01.01.10.302.0002.2015.3.3.90..30.00 (Ficha 059).</w:t>
      </w:r>
    </w:p>
    <w:p>
      <w:pPr>
        <w:jc w:val="center"/>
        <w:rPr>
          <w:rFonts w:hint="default" w:ascii="Times New Roman" w:hAnsi="Times New Roman" w:cs="Times New Roman"/>
          <w:b/>
          <w:szCs w:val="20"/>
        </w:rPr>
      </w:pPr>
    </w:p>
    <w:p>
      <w:pPr>
        <w:jc w:val="center"/>
        <w:rPr>
          <w:rFonts w:hint="default" w:ascii="Times New Roman" w:hAnsi="Times New Roman" w:cs="Times New Roman"/>
          <w:b/>
          <w:szCs w:val="20"/>
        </w:rPr>
      </w:pPr>
    </w:p>
    <w:tbl>
      <w:tblPr>
        <w:tblStyle w:val="20"/>
        <w:tblW w:w="98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39"/>
        <w:gridCol w:w="448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9" w:type="dxa"/>
            <w:tcBorders>
              <w:top w:val="nil"/>
              <w:left w:val="nil"/>
              <w:bottom w:val="nil"/>
              <w:right w:val="nil"/>
            </w:tcBorders>
          </w:tcPr>
          <w:p>
            <w:pPr>
              <w:jc w:val="center"/>
              <w:rPr>
                <w:rFonts w:hint="default" w:ascii="Times New Roman" w:hAnsi="Times New Roman" w:cs="Times New Roman"/>
                <w:b/>
                <w:szCs w:val="20"/>
              </w:rPr>
            </w:pPr>
            <w:r>
              <w:rPr>
                <w:rFonts w:hint="default" w:ascii="Times New Roman" w:hAnsi="Times New Roman" w:cs="Times New Roman"/>
                <w:b/>
                <w:szCs w:val="20"/>
              </w:rPr>
              <w:t>Bethânia Amarante Gomes</w:t>
            </w:r>
          </w:p>
          <w:p>
            <w:pPr>
              <w:shd w:val="clear" w:color="auto" w:fill="FFFFFF"/>
              <w:jc w:val="center"/>
              <w:rPr>
                <w:rFonts w:hint="default" w:ascii="Times New Roman" w:hAnsi="Times New Roman" w:cs="Times New Roman"/>
                <w:b/>
                <w:szCs w:val="20"/>
              </w:rPr>
            </w:pPr>
            <w:r>
              <w:rPr>
                <w:rFonts w:hint="default" w:ascii="Times New Roman" w:hAnsi="Times New Roman" w:cs="Times New Roman"/>
                <w:b/>
                <w:szCs w:val="20"/>
                <w:shd w:val="clear" w:color="auto" w:fill="FFFFFF"/>
              </w:rPr>
              <w:t>Farmacêutica / Coordenadora do Laboratório CISMIV</w:t>
            </w:r>
          </w:p>
          <w:p>
            <w:pPr>
              <w:widowControl w:val="0"/>
              <w:suppressAutoHyphens/>
              <w:spacing w:before="0" w:after="0"/>
              <w:jc w:val="center"/>
              <w:rPr>
                <w:rFonts w:hint="default" w:ascii="Times New Roman" w:hAnsi="Times New Roman" w:cs="Times New Roman"/>
                <w:sz w:val="22"/>
                <w:szCs w:val="22"/>
              </w:rPr>
            </w:pPr>
            <w:r>
              <w:rPr>
                <w:rFonts w:hint="default" w:ascii="Times New Roman" w:hAnsi="Times New Roman" w:cs="Times New Roman"/>
                <w:b/>
                <w:szCs w:val="20"/>
                <w:shd w:val="clear" w:color="auto" w:fill="FFFFFF"/>
              </w:rPr>
              <w:t>CRFMG 28837</w:t>
            </w:r>
          </w:p>
        </w:tc>
        <w:tc>
          <w:tcPr>
            <w:tcW w:w="4483" w:type="dxa"/>
            <w:tcBorders>
              <w:top w:val="nil"/>
              <w:left w:val="nil"/>
              <w:bottom w:val="nil"/>
              <w:right w:val="nil"/>
            </w:tcBorders>
          </w:tcPr>
          <w:p>
            <w:pPr>
              <w:jc w:val="center"/>
              <w:rPr>
                <w:rFonts w:hint="default" w:ascii="Times New Roman" w:hAnsi="Times New Roman" w:cs="Times New Roman"/>
                <w:b/>
                <w:szCs w:val="20"/>
                <w:lang w:val="pt-BR"/>
              </w:rPr>
            </w:pPr>
            <w:r>
              <w:rPr>
                <w:rFonts w:hint="default" w:ascii="Times New Roman" w:hAnsi="Times New Roman" w:cs="Times New Roman"/>
                <w:b/>
                <w:szCs w:val="20"/>
                <w:lang w:val="pt-BR"/>
              </w:rPr>
              <w:t>Valdeir Junio Fialho</w:t>
            </w:r>
          </w:p>
          <w:p>
            <w:pPr>
              <w:jc w:val="center"/>
              <w:rPr>
                <w:rFonts w:hint="default" w:ascii="Times New Roman" w:hAnsi="Times New Roman" w:cs="Times New Roman"/>
                <w:b/>
                <w:szCs w:val="20"/>
                <w:lang w:val="pt-BR"/>
              </w:rPr>
            </w:pPr>
            <w:r>
              <w:rPr>
                <w:rFonts w:hint="default" w:ascii="Times New Roman" w:hAnsi="Times New Roman" w:cs="Times New Roman"/>
                <w:b/>
                <w:szCs w:val="20"/>
              </w:rPr>
              <w:t xml:space="preserve">Coordenação </w:t>
            </w:r>
            <w:r>
              <w:rPr>
                <w:rFonts w:hint="default" w:ascii="Times New Roman" w:hAnsi="Times New Roman" w:cs="Times New Roman"/>
                <w:b/>
                <w:szCs w:val="20"/>
                <w:lang w:val="pt-BR"/>
              </w:rPr>
              <w:t>da enfermagem</w:t>
            </w:r>
          </w:p>
          <w:p>
            <w:pPr>
              <w:widowControl w:val="0"/>
              <w:suppressAutoHyphens/>
              <w:spacing w:before="0" w:after="0"/>
              <w:jc w:val="center"/>
              <w:rPr>
                <w:rFonts w:hint="default" w:ascii="Times New Roman" w:hAnsi="Times New Roman" w:cs="Times New Roman"/>
                <w:sz w:val="22"/>
                <w:szCs w:val="22"/>
              </w:rPr>
            </w:pPr>
          </w:p>
        </w:tc>
      </w:tr>
    </w:tbl>
    <w:p>
      <w:pPr>
        <w:jc w:val="both"/>
        <w:rPr>
          <w:rFonts w:hint="default" w:ascii="Times New Roman" w:hAnsi="Times New Roman" w:cs="Times New Roman"/>
          <w:b/>
          <w:szCs w:val="20"/>
        </w:rPr>
      </w:pPr>
    </w:p>
    <w:sectPr>
      <w:headerReference r:id="rId3" w:type="default"/>
      <w:footerReference r:id="rId4" w:type="default"/>
      <w:pgSz w:w="11906" w:h="16838"/>
      <w:pgMar w:top="1418" w:right="1134" w:bottom="1418" w:left="851" w:header="426"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drawing>
        <wp:inline distT="0" distB="0" distL="0" distR="0">
          <wp:extent cx="5111115" cy="46101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178035" cy="467208"/>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1985"/>
        <w:tab w:val="clear" w:pos="4252"/>
        <w:tab w:val="clear" w:pos="8504"/>
      </w:tabs>
      <w:ind w:left="1985" w:hanging="2127"/>
      <w:jc w:val="center"/>
      <w:rPr>
        <w:b/>
        <w:sz w:val="14"/>
        <w:szCs w:val="14"/>
      </w:rPr>
    </w:pPr>
    <w:r>
      <w:rPr>
        <w:b/>
        <w:sz w:val="14"/>
        <w:szCs w:val="14"/>
      </w:rPr>
      <w:drawing>
        <wp:inline distT="0" distB="0" distL="0" distR="0">
          <wp:extent cx="4426585" cy="72072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472526" cy="72824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3"/>
      <w:lvlText w:val=""/>
      <w:lvlJc w:val="left"/>
      <w:pPr>
        <w:tabs>
          <w:tab w:val="left" w:pos="1492"/>
        </w:tabs>
        <w:ind w:left="1492" w:hanging="360"/>
      </w:pPr>
      <w:rPr>
        <w:rFonts w:hint="default" w:ascii="Symbol" w:hAnsi="Symbol"/>
      </w:rPr>
    </w:lvl>
  </w:abstractNum>
  <w:abstractNum w:abstractNumId="1">
    <w:nsid w:val="01B124B3"/>
    <w:multiLevelType w:val="multilevel"/>
    <w:tmpl w:val="01B124B3"/>
    <w:lvl w:ilvl="0" w:tentative="0">
      <w:start w:val="5"/>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pStyle w:val="35"/>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color w:val="auto"/>
      </w:rPr>
    </w:lvl>
    <w:lvl w:ilvl="2" w:tentative="0">
      <w:start w:val="1"/>
      <w:numFmt w:val="decimal"/>
      <w:lvlText w:val="%1.%2.%3."/>
      <w:lvlJc w:val="left"/>
      <w:pPr>
        <w:ind w:left="504"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1F553987"/>
    <w:multiLevelType w:val="multilevel"/>
    <w:tmpl w:val="1F553987"/>
    <w:lvl w:ilvl="0" w:tentative="0">
      <w:start w:val="1"/>
      <w:numFmt w:val="lowerLetter"/>
      <w:lvlText w:val="%1)"/>
      <w:lvlJc w:val="left"/>
      <w:pPr>
        <w:ind w:left="837" w:hanging="361"/>
      </w:pPr>
      <w:rPr>
        <w:rFonts w:hint="default" w:ascii="Arial" w:hAnsi="Arial" w:eastAsia="Arial" w:cs="Arial"/>
        <w:b/>
        <w:bCs/>
        <w:spacing w:val="0"/>
        <w:w w:val="100"/>
        <w:sz w:val="22"/>
        <w:szCs w:val="22"/>
        <w:lang w:val="pt-PT" w:eastAsia="pt-PT" w:bidi="pt-PT"/>
      </w:rPr>
    </w:lvl>
    <w:lvl w:ilvl="1" w:tentative="0">
      <w:start w:val="0"/>
      <w:numFmt w:val="bullet"/>
      <w:lvlText w:val="•"/>
      <w:lvlJc w:val="left"/>
      <w:pPr>
        <w:ind w:left="1661" w:hanging="361"/>
      </w:pPr>
      <w:rPr>
        <w:rFonts w:hint="default"/>
        <w:lang w:val="pt-PT" w:eastAsia="pt-PT" w:bidi="pt-PT"/>
      </w:rPr>
    </w:lvl>
    <w:lvl w:ilvl="2" w:tentative="0">
      <w:start w:val="0"/>
      <w:numFmt w:val="bullet"/>
      <w:lvlText w:val="•"/>
      <w:lvlJc w:val="left"/>
      <w:pPr>
        <w:ind w:left="2483" w:hanging="361"/>
      </w:pPr>
      <w:rPr>
        <w:rFonts w:hint="default"/>
        <w:lang w:val="pt-PT" w:eastAsia="pt-PT" w:bidi="pt-PT"/>
      </w:rPr>
    </w:lvl>
    <w:lvl w:ilvl="3" w:tentative="0">
      <w:start w:val="0"/>
      <w:numFmt w:val="bullet"/>
      <w:lvlText w:val="•"/>
      <w:lvlJc w:val="left"/>
      <w:pPr>
        <w:ind w:left="3305" w:hanging="361"/>
      </w:pPr>
      <w:rPr>
        <w:rFonts w:hint="default"/>
        <w:lang w:val="pt-PT" w:eastAsia="pt-PT" w:bidi="pt-PT"/>
      </w:rPr>
    </w:lvl>
    <w:lvl w:ilvl="4" w:tentative="0">
      <w:start w:val="0"/>
      <w:numFmt w:val="bullet"/>
      <w:lvlText w:val="•"/>
      <w:lvlJc w:val="left"/>
      <w:pPr>
        <w:ind w:left="4127" w:hanging="361"/>
      </w:pPr>
      <w:rPr>
        <w:rFonts w:hint="default"/>
        <w:lang w:val="pt-PT" w:eastAsia="pt-PT" w:bidi="pt-PT"/>
      </w:rPr>
    </w:lvl>
    <w:lvl w:ilvl="5" w:tentative="0">
      <w:start w:val="0"/>
      <w:numFmt w:val="bullet"/>
      <w:lvlText w:val="•"/>
      <w:lvlJc w:val="left"/>
      <w:pPr>
        <w:ind w:left="4949" w:hanging="361"/>
      </w:pPr>
      <w:rPr>
        <w:rFonts w:hint="default"/>
        <w:lang w:val="pt-PT" w:eastAsia="pt-PT" w:bidi="pt-PT"/>
      </w:rPr>
    </w:lvl>
    <w:lvl w:ilvl="6" w:tentative="0">
      <w:start w:val="0"/>
      <w:numFmt w:val="bullet"/>
      <w:lvlText w:val="•"/>
      <w:lvlJc w:val="left"/>
      <w:pPr>
        <w:ind w:left="5771" w:hanging="361"/>
      </w:pPr>
      <w:rPr>
        <w:rFonts w:hint="default"/>
        <w:lang w:val="pt-PT" w:eastAsia="pt-PT" w:bidi="pt-PT"/>
      </w:rPr>
    </w:lvl>
    <w:lvl w:ilvl="7" w:tentative="0">
      <w:start w:val="0"/>
      <w:numFmt w:val="bullet"/>
      <w:lvlText w:val="•"/>
      <w:lvlJc w:val="left"/>
      <w:pPr>
        <w:ind w:left="6593" w:hanging="361"/>
      </w:pPr>
      <w:rPr>
        <w:rFonts w:hint="default"/>
        <w:lang w:val="pt-PT" w:eastAsia="pt-PT" w:bidi="pt-PT"/>
      </w:rPr>
    </w:lvl>
    <w:lvl w:ilvl="8" w:tentative="0">
      <w:start w:val="0"/>
      <w:numFmt w:val="bullet"/>
      <w:lvlText w:val="•"/>
      <w:lvlJc w:val="left"/>
      <w:pPr>
        <w:ind w:left="7415" w:hanging="361"/>
      </w:pPr>
      <w:rPr>
        <w:rFonts w:hint="default"/>
        <w:lang w:val="pt-PT" w:eastAsia="pt-PT" w:bidi="pt-PT"/>
      </w:rPr>
    </w:lvl>
  </w:abstractNum>
  <w:abstractNum w:abstractNumId="4">
    <w:nsid w:val="58C70088"/>
    <w:multiLevelType w:val="multilevel"/>
    <w:tmpl w:val="58C70088"/>
    <w:lvl w:ilvl="0" w:tentative="0">
      <w:start w:val="1"/>
      <w:numFmt w:val="decimal"/>
      <w:pStyle w:val="47"/>
      <w:lvlText w:val="%1."/>
      <w:lvlJc w:val="left"/>
      <w:pPr>
        <w:ind w:left="502" w:hanging="360"/>
      </w:pPr>
      <w:rPr>
        <w:b/>
        <w:i w:val="0"/>
        <w:strike w:val="0"/>
        <w:dstrike w:val="0"/>
      </w:rPr>
    </w:lvl>
    <w:lvl w:ilvl="1" w:tentative="0">
      <w:start w:val="1"/>
      <w:numFmt w:val="decimal"/>
      <w:pStyle w:val="46"/>
      <w:lvlText w:val="%1.%2."/>
      <w:lvlJc w:val="left"/>
      <w:pPr>
        <w:ind w:left="858" w:hanging="432"/>
      </w:pPr>
      <w:rPr>
        <w:b w:val="0"/>
        <w:strike w:val="0"/>
      </w:rPr>
    </w:lvl>
    <w:lvl w:ilvl="2" w:tentative="0">
      <w:start w:val="1"/>
      <w:numFmt w:val="decimal"/>
      <w:pStyle w:val="48"/>
      <w:lvlText w:val="%1.%2.%3."/>
      <w:lvlJc w:val="left"/>
      <w:pPr>
        <w:ind w:left="1224" w:hanging="504"/>
      </w:pPr>
      <w:rPr>
        <w:i w:val="0"/>
        <w:strike w:val="0"/>
      </w:rPr>
    </w:lvl>
    <w:lvl w:ilvl="3" w:tentative="0">
      <w:start w:val="1"/>
      <w:numFmt w:val="decimal"/>
      <w:pStyle w:val="49"/>
      <w:lvlText w:val="%1.%2.%3.%4."/>
      <w:lvlJc w:val="left"/>
      <w:pPr>
        <w:ind w:left="1728" w:hanging="648"/>
      </w:pPr>
    </w:lvl>
    <w:lvl w:ilvl="4" w:tentative="0">
      <w:start w:val="1"/>
      <w:numFmt w:val="decimal"/>
      <w:pStyle w:val="50"/>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79CE25EA"/>
    <w:multiLevelType w:val="multilevel"/>
    <w:tmpl w:val="79CE25EA"/>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Zero"/>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5"/>
  </w:num>
  <w:num w:numId="5">
    <w:abstractNumId w:val="2"/>
    <w:lvlOverride w:ilvl="0">
      <w:startOverride w:val="1"/>
    </w:lvlOverride>
    <w:lvlOverride w:ilvl="1">
      <w:startOverride w:val="3"/>
    </w:lvlOverride>
  </w:num>
  <w:num w:numId="6">
    <w:abstractNumId w:val="3"/>
  </w:num>
  <w:num w:numId="7">
    <w:abstractNumId w:val="1"/>
  </w:num>
  <w:num w:numId="8">
    <w:abstractNumId w:val="2"/>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82"/>
    <w:rsid w:val="0000236D"/>
    <w:rsid w:val="00003298"/>
    <w:rsid w:val="0000392B"/>
    <w:rsid w:val="00004F02"/>
    <w:rsid w:val="000117D1"/>
    <w:rsid w:val="000135C0"/>
    <w:rsid w:val="00014DD9"/>
    <w:rsid w:val="0001661B"/>
    <w:rsid w:val="00016A0E"/>
    <w:rsid w:val="0002260C"/>
    <w:rsid w:val="0002306D"/>
    <w:rsid w:val="000242C8"/>
    <w:rsid w:val="00027155"/>
    <w:rsid w:val="000318BA"/>
    <w:rsid w:val="00032DCE"/>
    <w:rsid w:val="0003337C"/>
    <w:rsid w:val="000349AF"/>
    <w:rsid w:val="00034A29"/>
    <w:rsid w:val="00035438"/>
    <w:rsid w:val="000372FE"/>
    <w:rsid w:val="00040957"/>
    <w:rsid w:val="00045830"/>
    <w:rsid w:val="00047D73"/>
    <w:rsid w:val="000503B8"/>
    <w:rsid w:val="000514D2"/>
    <w:rsid w:val="000527FD"/>
    <w:rsid w:val="000528E5"/>
    <w:rsid w:val="000561A3"/>
    <w:rsid w:val="00056433"/>
    <w:rsid w:val="00060414"/>
    <w:rsid w:val="00060673"/>
    <w:rsid w:val="00062853"/>
    <w:rsid w:val="00062C9B"/>
    <w:rsid w:val="00063CC2"/>
    <w:rsid w:val="00064D33"/>
    <w:rsid w:val="0006537A"/>
    <w:rsid w:val="000670EC"/>
    <w:rsid w:val="000677A2"/>
    <w:rsid w:val="00070EA5"/>
    <w:rsid w:val="00073282"/>
    <w:rsid w:val="00073539"/>
    <w:rsid w:val="000745C2"/>
    <w:rsid w:val="00075A55"/>
    <w:rsid w:val="00076CBC"/>
    <w:rsid w:val="000779C7"/>
    <w:rsid w:val="00081098"/>
    <w:rsid w:val="0008113E"/>
    <w:rsid w:val="00081E06"/>
    <w:rsid w:val="00085521"/>
    <w:rsid w:val="00087EF2"/>
    <w:rsid w:val="00090D05"/>
    <w:rsid w:val="00090F5D"/>
    <w:rsid w:val="00092759"/>
    <w:rsid w:val="000932F7"/>
    <w:rsid w:val="00093CC3"/>
    <w:rsid w:val="00094321"/>
    <w:rsid w:val="00097EE6"/>
    <w:rsid w:val="000A038D"/>
    <w:rsid w:val="000A102A"/>
    <w:rsid w:val="000A1A7B"/>
    <w:rsid w:val="000A1B88"/>
    <w:rsid w:val="000A23DA"/>
    <w:rsid w:val="000A674F"/>
    <w:rsid w:val="000B1AC5"/>
    <w:rsid w:val="000B7B55"/>
    <w:rsid w:val="000B7D8F"/>
    <w:rsid w:val="000C123B"/>
    <w:rsid w:val="000C21AD"/>
    <w:rsid w:val="000C2C16"/>
    <w:rsid w:val="000C5EE4"/>
    <w:rsid w:val="000C670A"/>
    <w:rsid w:val="000D05B3"/>
    <w:rsid w:val="000D0FA1"/>
    <w:rsid w:val="000D2A1E"/>
    <w:rsid w:val="000D2AC3"/>
    <w:rsid w:val="000D3C34"/>
    <w:rsid w:val="000D418A"/>
    <w:rsid w:val="000D7AAB"/>
    <w:rsid w:val="000D7EB5"/>
    <w:rsid w:val="000E0D4B"/>
    <w:rsid w:val="000E345F"/>
    <w:rsid w:val="000F1C1C"/>
    <w:rsid w:val="000F4088"/>
    <w:rsid w:val="000F4F96"/>
    <w:rsid w:val="000F5A07"/>
    <w:rsid w:val="000F7AFE"/>
    <w:rsid w:val="00100361"/>
    <w:rsid w:val="00100990"/>
    <w:rsid w:val="00103AA9"/>
    <w:rsid w:val="00105707"/>
    <w:rsid w:val="00105E99"/>
    <w:rsid w:val="001060BC"/>
    <w:rsid w:val="001103FF"/>
    <w:rsid w:val="00110F04"/>
    <w:rsid w:val="00111448"/>
    <w:rsid w:val="00113096"/>
    <w:rsid w:val="00113EEB"/>
    <w:rsid w:val="0012163E"/>
    <w:rsid w:val="001219B0"/>
    <w:rsid w:val="00121C22"/>
    <w:rsid w:val="00121C9A"/>
    <w:rsid w:val="00123B54"/>
    <w:rsid w:val="00124990"/>
    <w:rsid w:val="00124BB7"/>
    <w:rsid w:val="00124FA4"/>
    <w:rsid w:val="00125590"/>
    <w:rsid w:val="001276C9"/>
    <w:rsid w:val="001304C0"/>
    <w:rsid w:val="001315F2"/>
    <w:rsid w:val="00133D90"/>
    <w:rsid w:val="0014004B"/>
    <w:rsid w:val="001401FE"/>
    <w:rsid w:val="00141D25"/>
    <w:rsid w:val="0014325E"/>
    <w:rsid w:val="00146BDF"/>
    <w:rsid w:val="001478B4"/>
    <w:rsid w:val="001516EA"/>
    <w:rsid w:val="00153E25"/>
    <w:rsid w:val="00154505"/>
    <w:rsid w:val="00154CCE"/>
    <w:rsid w:val="0015684D"/>
    <w:rsid w:val="00160177"/>
    <w:rsid w:val="00160BBD"/>
    <w:rsid w:val="00160DA4"/>
    <w:rsid w:val="0016584A"/>
    <w:rsid w:val="001709D2"/>
    <w:rsid w:val="00170CE1"/>
    <w:rsid w:val="001735DB"/>
    <w:rsid w:val="00174CAA"/>
    <w:rsid w:val="0017577C"/>
    <w:rsid w:val="00177CD5"/>
    <w:rsid w:val="001817D2"/>
    <w:rsid w:val="00184086"/>
    <w:rsid w:val="00184BCC"/>
    <w:rsid w:val="0018513A"/>
    <w:rsid w:val="001904A8"/>
    <w:rsid w:val="00195029"/>
    <w:rsid w:val="001963DE"/>
    <w:rsid w:val="001A11DA"/>
    <w:rsid w:val="001A1732"/>
    <w:rsid w:val="001A2CE9"/>
    <w:rsid w:val="001A3A05"/>
    <w:rsid w:val="001A3C4F"/>
    <w:rsid w:val="001A3E18"/>
    <w:rsid w:val="001A425B"/>
    <w:rsid w:val="001A42BF"/>
    <w:rsid w:val="001A7164"/>
    <w:rsid w:val="001B005B"/>
    <w:rsid w:val="001B1D04"/>
    <w:rsid w:val="001B6299"/>
    <w:rsid w:val="001C0534"/>
    <w:rsid w:val="001C1001"/>
    <w:rsid w:val="001C1765"/>
    <w:rsid w:val="001C278A"/>
    <w:rsid w:val="001C3F32"/>
    <w:rsid w:val="001C445C"/>
    <w:rsid w:val="001C48B6"/>
    <w:rsid w:val="001C4C04"/>
    <w:rsid w:val="001C694F"/>
    <w:rsid w:val="001C71C1"/>
    <w:rsid w:val="001C721E"/>
    <w:rsid w:val="001D050A"/>
    <w:rsid w:val="001D0E94"/>
    <w:rsid w:val="001D1C4E"/>
    <w:rsid w:val="001E0C84"/>
    <w:rsid w:val="001E14AF"/>
    <w:rsid w:val="001E3AAF"/>
    <w:rsid w:val="001E3DDB"/>
    <w:rsid w:val="001E5120"/>
    <w:rsid w:val="001F0A6E"/>
    <w:rsid w:val="001F1E69"/>
    <w:rsid w:val="001F39FA"/>
    <w:rsid w:val="00202A04"/>
    <w:rsid w:val="00205197"/>
    <w:rsid w:val="0020593D"/>
    <w:rsid w:val="00207B98"/>
    <w:rsid w:val="00210001"/>
    <w:rsid w:val="00210B85"/>
    <w:rsid w:val="0021106D"/>
    <w:rsid w:val="00213730"/>
    <w:rsid w:val="002137D6"/>
    <w:rsid w:val="00214E46"/>
    <w:rsid w:val="00220D9F"/>
    <w:rsid w:val="00220E6C"/>
    <w:rsid w:val="00221BA5"/>
    <w:rsid w:val="00221D4C"/>
    <w:rsid w:val="00222980"/>
    <w:rsid w:val="00222EC0"/>
    <w:rsid w:val="002241A2"/>
    <w:rsid w:val="00224319"/>
    <w:rsid w:val="00231E8F"/>
    <w:rsid w:val="00231E9C"/>
    <w:rsid w:val="00233840"/>
    <w:rsid w:val="00235489"/>
    <w:rsid w:val="002405FF"/>
    <w:rsid w:val="00240B17"/>
    <w:rsid w:val="00241D78"/>
    <w:rsid w:val="0024479C"/>
    <w:rsid w:val="00246DAE"/>
    <w:rsid w:val="00247E6C"/>
    <w:rsid w:val="00251D87"/>
    <w:rsid w:val="00253804"/>
    <w:rsid w:val="002538B4"/>
    <w:rsid w:val="002538E3"/>
    <w:rsid w:val="00255C24"/>
    <w:rsid w:val="002568EE"/>
    <w:rsid w:val="00260802"/>
    <w:rsid w:val="00261AF8"/>
    <w:rsid w:val="0026386A"/>
    <w:rsid w:val="002648D2"/>
    <w:rsid w:val="00266231"/>
    <w:rsid w:val="00267125"/>
    <w:rsid w:val="00267B22"/>
    <w:rsid w:val="00267DDF"/>
    <w:rsid w:val="00271CB6"/>
    <w:rsid w:val="0027301A"/>
    <w:rsid w:val="00273699"/>
    <w:rsid w:val="00274E7D"/>
    <w:rsid w:val="00276ECC"/>
    <w:rsid w:val="00281C73"/>
    <w:rsid w:val="00282E02"/>
    <w:rsid w:val="00284926"/>
    <w:rsid w:val="0028765E"/>
    <w:rsid w:val="0029037D"/>
    <w:rsid w:val="00290C61"/>
    <w:rsid w:val="002931AF"/>
    <w:rsid w:val="002937D4"/>
    <w:rsid w:val="0029415B"/>
    <w:rsid w:val="00294BCB"/>
    <w:rsid w:val="00294F04"/>
    <w:rsid w:val="00297623"/>
    <w:rsid w:val="0029772C"/>
    <w:rsid w:val="002A156B"/>
    <w:rsid w:val="002A3D99"/>
    <w:rsid w:val="002B03B9"/>
    <w:rsid w:val="002B1FD8"/>
    <w:rsid w:val="002B36F9"/>
    <w:rsid w:val="002B752A"/>
    <w:rsid w:val="002C000E"/>
    <w:rsid w:val="002C0DF5"/>
    <w:rsid w:val="002C4C49"/>
    <w:rsid w:val="002C50DF"/>
    <w:rsid w:val="002C54C1"/>
    <w:rsid w:val="002C7035"/>
    <w:rsid w:val="002C79BB"/>
    <w:rsid w:val="002D0C72"/>
    <w:rsid w:val="002D13AD"/>
    <w:rsid w:val="002D38D1"/>
    <w:rsid w:val="002D78B4"/>
    <w:rsid w:val="002D7C8E"/>
    <w:rsid w:val="002E160F"/>
    <w:rsid w:val="002E3CAE"/>
    <w:rsid w:val="002E3CBE"/>
    <w:rsid w:val="002E3F91"/>
    <w:rsid w:val="002E480D"/>
    <w:rsid w:val="002E5F6B"/>
    <w:rsid w:val="002E7FA6"/>
    <w:rsid w:val="002F084D"/>
    <w:rsid w:val="002F308B"/>
    <w:rsid w:val="003022D4"/>
    <w:rsid w:val="0030433B"/>
    <w:rsid w:val="00310B35"/>
    <w:rsid w:val="00310B4A"/>
    <w:rsid w:val="00311650"/>
    <w:rsid w:val="003119EF"/>
    <w:rsid w:val="00316F6C"/>
    <w:rsid w:val="00317C2F"/>
    <w:rsid w:val="00320A11"/>
    <w:rsid w:val="003238C3"/>
    <w:rsid w:val="00323A82"/>
    <w:rsid w:val="00324785"/>
    <w:rsid w:val="00324BCD"/>
    <w:rsid w:val="00324F30"/>
    <w:rsid w:val="00325023"/>
    <w:rsid w:val="003259D4"/>
    <w:rsid w:val="00325FD8"/>
    <w:rsid w:val="003265B9"/>
    <w:rsid w:val="00327232"/>
    <w:rsid w:val="00331182"/>
    <w:rsid w:val="003337E8"/>
    <w:rsid w:val="00340EE0"/>
    <w:rsid w:val="00343032"/>
    <w:rsid w:val="0034386F"/>
    <w:rsid w:val="00345FEB"/>
    <w:rsid w:val="003462BC"/>
    <w:rsid w:val="00351733"/>
    <w:rsid w:val="00352D2C"/>
    <w:rsid w:val="00353658"/>
    <w:rsid w:val="0035543F"/>
    <w:rsid w:val="0035658A"/>
    <w:rsid w:val="0035660F"/>
    <w:rsid w:val="00357CCB"/>
    <w:rsid w:val="00364141"/>
    <w:rsid w:val="0036613C"/>
    <w:rsid w:val="00367EF6"/>
    <w:rsid w:val="00373D3A"/>
    <w:rsid w:val="00373F2A"/>
    <w:rsid w:val="0037595A"/>
    <w:rsid w:val="003779A2"/>
    <w:rsid w:val="0038139C"/>
    <w:rsid w:val="00381D92"/>
    <w:rsid w:val="003830D0"/>
    <w:rsid w:val="0038360C"/>
    <w:rsid w:val="003837A9"/>
    <w:rsid w:val="0038436E"/>
    <w:rsid w:val="003844B2"/>
    <w:rsid w:val="00386157"/>
    <w:rsid w:val="00386ADE"/>
    <w:rsid w:val="0039126B"/>
    <w:rsid w:val="0039158D"/>
    <w:rsid w:val="00391E14"/>
    <w:rsid w:val="003959F6"/>
    <w:rsid w:val="003971D9"/>
    <w:rsid w:val="003A03C6"/>
    <w:rsid w:val="003A081E"/>
    <w:rsid w:val="003A7333"/>
    <w:rsid w:val="003A73C1"/>
    <w:rsid w:val="003B263A"/>
    <w:rsid w:val="003B433D"/>
    <w:rsid w:val="003B6B55"/>
    <w:rsid w:val="003B766A"/>
    <w:rsid w:val="003B791E"/>
    <w:rsid w:val="003C3F0F"/>
    <w:rsid w:val="003C609E"/>
    <w:rsid w:val="003C6275"/>
    <w:rsid w:val="003D26C5"/>
    <w:rsid w:val="003D5DF6"/>
    <w:rsid w:val="003D69A5"/>
    <w:rsid w:val="003D6D4F"/>
    <w:rsid w:val="003E1B9E"/>
    <w:rsid w:val="003E265D"/>
    <w:rsid w:val="003E34F6"/>
    <w:rsid w:val="003E4927"/>
    <w:rsid w:val="003E4D76"/>
    <w:rsid w:val="003E5496"/>
    <w:rsid w:val="003E55B1"/>
    <w:rsid w:val="003F004A"/>
    <w:rsid w:val="003F1437"/>
    <w:rsid w:val="003F17EC"/>
    <w:rsid w:val="003F185C"/>
    <w:rsid w:val="003F36A3"/>
    <w:rsid w:val="003F3D97"/>
    <w:rsid w:val="003F4B6F"/>
    <w:rsid w:val="003F59FC"/>
    <w:rsid w:val="003F5AAA"/>
    <w:rsid w:val="003F654A"/>
    <w:rsid w:val="004006EC"/>
    <w:rsid w:val="004033B8"/>
    <w:rsid w:val="004041F2"/>
    <w:rsid w:val="0040443F"/>
    <w:rsid w:val="00404510"/>
    <w:rsid w:val="004053E1"/>
    <w:rsid w:val="00407F1C"/>
    <w:rsid w:val="0041374F"/>
    <w:rsid w:val="00414E7F"/>
    <w:rsid w:val="00415F27"/>
    <w:rsid w:val="00416A59"/>
    <w:rsid w:val="00416C6F"/>
    <w:rsid w:val="00417CA8"/>
    <w:rsid w:val="004217DD"/>
    <w:rsid w:val="0042190C"/>
    <w:rsid w:val="00424062"/>
    <w:rsid w:val="00425359"/>
    <w:rsid w:val="004313DA"/>
    <w:rsid w:val="004313DB"/>
    <w:rsid w:val="004316D7"/>
    <w:rsid w:val="00431A32"/>
    <w:rsid w:val="00431EDA"/>
    <w:rsid w:val="0043231C"/>
    <w:rsid w:val="00432470"/>
    <w:rsid w:val="00434882"/>
    <w:rsid w:val="00435447"/>
    <w:rsid w:val="00436389"/>
    <w:rsid w:val="00441633"/>
    <w:rsid w:val="00441EA1"/>
    <w:rsid w:val="00445798"/>
    <w:rsid w:val="0044725C"/>
    <w:rsid w:val="00447465"/>
    <w:rsid w:val="004509FC"/>
    <w:rsid w:val="0045247B"/>
    <w:rsid w:val="00453B1D"/>
    <w:rsid w:val="004553EF"/>
    <w:rsid w:val="00455CBE"/>
    <w:rsid w:val="00455EB7"/>
    <w:rsid w:val="00455FD5"/>
    <w:rsid w:val="00456411"/>
    <w:rsid w:val="00456558"/>
    <w:rsid w:val="00460E8A"/>
    <w:rsid w:val="0046230A"/>
    <w:rsid w:val="00462C95"/>
    <w:rsid w:val="0046486A"/>
    <w:rsid w:val="00465E65"/>
    <w:rsid w:val="00473A3D"/>
    <w:rsid w:val="004772C2"/>
    <w:rsid w:val="004773FC"/>
    <w:rsid w:val="00477818"/>
    <w:rsid w:val="00477FB8"/>
    <w:rsid w:val="00480328"/>
    <w:rsid w:val="0048123E"/>
    <w:rsid w:val="00481A64"/>
    <w:rsid w:val="004834FC"/>
    <w:rsid w:val="00483B15"/>
    <w:rsid w:val="00483FB9"/>
    <w:rsid w:val="00486624"/>
    <w:rsid w:val="00491452"/>
    <w:rsid w:val="0049252B"/>
    <w:rsid w:val="0049465E"/>
    <w:rsid w:val="00494AE7"/>
    <w:rsid w:val="004A030A"/>
    <w:rsid w:val="004A07AE"/>
    <w:rsid w:val="004A5800"/>
    <w:rsid w:val="004A5E92"/>
    <w:rsid w:val="004B05B0"/>
    <w:rsid w:val="004B09BA"/>
    <w:rsid w:val="004B0CAC"/>
    <w:rsid w:val="004B19B5"/>
    <w:rsid w:val="004B1D7D"/>
    <w:rsid w:val="004B460A"/>
    <w:rsid w:val="004C0212"/>
    <w:rsid w:val="004C05F9"/>
    <w:rsid w:val="004C5E59"/>
    <w:rsid w:val="004D087F"/>
    <w:rsid w:val="004D1075"/>
    <w:rsid w:val="004D1EBF"/>
    <w:rsid w:val="004D2063"/>
    <w:rsid w:val="004D551E"/>
    <w:rsid w:val="004E0194"/>
    <w:rsid w:val="004E3707"/>
    <w:rsid w:val="004E4BF8"/>
    <w:rsid w:val="004E5072"/>
    <w:rsid w:val="004E6184"/>
    <w:rsid w:val="004E7DF3"/>
    <w:rsid w:val="004F1471"/>
    <w:rsid w:val="004F5DF9"/>
    <w:rsid w:val="004F66B4"/>
    <w:rsid w:val="004F78C6"/>
    <w:rsid w:val="005004BF"/>
    <w:rsid w:val="0050224C"/>
    <w:rsid w:val="00503208"/>
    <w:rsid w:val="005037A6"/>
    <w:rsid w:val="005038F9"/>
    <w:rsid w:val="00504B6D"/>
    <w:rsid w:val="00510B8C"/>
    <w:rsid w:val="00511C0B"/>
    <w:rsid w:val="005124ED"/>
    <w:rsid w:val="00512D53"/>
    <w:rsid w:val="00514883"/>
    <w:rsid w:val="00520BCD"/>
    <w:rsid w:val="005248A0"/>
    <w:rsid w:val="0053132E"/>
    <w:rsid w:val="005328E5"/>
    <w:rsid w:val="005340E7"/>
    <w:rsid w:val="005341E4"/>
    <w:rsid w:val="00546070"/>
    <w:rsid w:val="00546FEB"/>
    <w:rsid w:val="00553BF9"/>
    <w:rsid w:val="005552A2"/>
    <w:rsid w:val="00561177"/>
    <w:rsid w:val="00561C04"/>
    <w:rsid w:val="0056213B"/>
    <w:rsid w:val="00562F82"/>
    <w:rsid w:val="00563CBA"/>
    <w:rsid w:val="00564913"/>
    <w:rsid w:val="0057105F"/>
    <w:rsid w:val="0057203C"/>
    <w:rsid w:val="005734D9"/>
    <w:rsid w:val="00577E38"/>
    <w:rsid w:val="005800D8"/>
    <w:rsid w:val="00581DCB"/>
    <w:rsid w:val="00583CC7"/>
    <w:rsid w:val="005846C9"/>
    <w:rsid w:val="005873FC"/>
    <w:rsid w:val="00590EAF"/>
    <w:rsid w:val="00595DA6"/>
    <w:rsid w:val="005A67F4"/>
    <w:rsid w:val="005A6A91"/>
    <w:rsid w:val="005A73FB"/>
    <w:rsid w:val="005B0043"/>
    <w:rsid w:val="005B0066"/>
    <w:rsid w:val="005C3930"/>
    <w:rsid w:val="005C4FB4"/>
    <w:rsid w:val="005C5C6E"/>
    <w:rsid w:val="005C76D8"/>
    <w:rsid w:val="005D2DB3"/>
    <w:rsid w:val="005E075D"/>
    <w:rsid w:val="005E1321"/>
    <w:rsid w:val="005E1789"/>
    <w:rsid w:val="005E1B3A"/>
    <w:rsid w:val="005E2CAC"/>
    <w:rsid w:val="005E2DD4"/>
    <w:rsid w:val="005E412D"/>
    <w:rsid w:val="005E4CDC"/>
    <w:rsid w:val="005E4DEB"/>
    <w:rsid w:val="005E6D43"/>
    <w:rsid w:val="005F64F4"/>
    <w:rsid w:val="005F6F64"/>
    <w:rsid w:val="005F7B0A"/>
    <w:rsid w:val="00600604"/>
    <w:rsid w:val="00601C20"/>
    <w:rsid w:val="00605C11"/>
    <w:rsid w:val="00606440"/>
    <w:rsid w:val="006078C2"/>
    <w:rsid w:val="006125D5"/>
    <w:rsid w:val="00613DC5"/>
    <w:rsid w:val="006171A9"/>
    <w:rsid w:val="00622BF7"/>
    <w:rsid w:val="00623436"/>
    <w:rsid w:val="00625193"/>
    <w:rsid w:val="006337C6"/>
    <w:rsid w:val="00635304"/>
    <w:rsid w:val="00640F39"/>
    <w:rsid w:val="00652978"/>
    <w:rsid w:val="00653D7F"/>
    <w:rsid w:val="00655AA1"/>
    <w:rsid w:val="00655AAF"/>
    <w:rsid w:val="00656A30"/>
    <w:rsid w:val="00662AC4"/>
    <w:rsid w:val="006636F5"/>
    <w:rsid w:val="00663D39"/>
    <w:rsid w:val="006673E7"/>
    <w:rsid w:val="006706E6"/>
    <w:rsid w:val="00670ECB"/>
    <w:rsid w:val="0067266A"/>
    <w:rsid w:val="00674964"/>
    <w:rsid w:val="0068043E"/>
    <w:rsid w:val="00680B7E"/>
    <w:rsid w:val="00683B2C"/>
    <w:rsid w:val="00683B94"/>
    <w:rsid w:val="00686692"/>
    <w:rsid w:val="00693033"/>
    <w:rsid w:val="00693321"/>
    <w:rsid w:val="00694893"/>
    <w:rsid w:val="00694DD9"/>
    <w:rsid w:val="006A06F3"/>
    <w:rsid w:val="006A0C9D"/>
    <w:rsid w:val="006A12B1"/>
    <w:rsid w:val="006A14BB"/>
    <w:rsid w:val="006A1642"/>
    <w:rsid w:val="006A1B0B"/>
    <w:rsid w:val="006A24D7"/>
    <w:rsid w:val="006A4966"/>
    <w:rsid w:val="006A54BE"/>
    <w:rsid w:val="006A5F42"/>
    <w:rsid w:val="006A6103"/>
    <w:rsid w:val="006A62F4"/>
    <w:rsid w:val="006B10ED"/>
    <w:rsid w:val="006B156A"/>
    <w:rsid w:val="006B1E05"/>
    <w:rsid w:val="006B2412"/>
    <w:rsid w:val="006B4F18"/>
    <w:rsid w:val="006B51B2"/>
    <w:rsid w:val="006B5606"/>
    <w:rsid w:val="006C17A0"/>
    <w:rsid w:val="006C49D5"/>
    <w:rsid w:val="006C755F"/>
    <w:rsid w:val="006D27E3"/>
    <w:rsid w:val="006D3F97"/>
    <w:rsid w:val="006D4135"/>
    <w:rsid w:val="006E0448"/>
    <w:rsid w:val="006E09F2"/>
    <w:rsid w:val="006E721C"/>
    <w:rsid w:val="006F3EE2"/>
    <w:rsid w:val="006F6C48"/>
    <w:rsid w:val="006F7BAF"/>
    <w:rsid w:val="00700803"/>
    <w:rsid w:val="00700CBD"/>
    <w:rsid w:val="0070207F"/>
    <w:rsid w:val="007028C7"/>
    <w:rsid w:val="007030CC"/>
    <w:rsid w:val="00703F96"/>
    <w:rsid w:val="00704462"/>
    <w:rsid w:val="00704F0D"/>
    <w:rsid w:val="00710C7E"/>
    <w:rsid w:val="00714E7C"/>
    <w:rsid w:val="007152C7"/>
    <w:rsid w:val="00722E0D"/>
    <w:rsid w:val="00723039"/>
    <w:rsid w:val="007260D2"/>
    <w:rsid w:val="007277FA"/>
    <w:rsid w:val="0073044F"/>
    <w:rsid w:val="00732294"/>
    <w:rsid w:val="00733A5D"/>
    <w:rsid w:val="00733DE0"/>
    <w:rsid w:val="007357C5"/>
    <w:rsid w:val="00736C27"/>
    <w:rsid w:val="007375DE"/>
    <w:rsid w:val="0074032D"/>
    <w:rsid w:val="0074056F"/>
    <w:rsid w:val="00740D25"/>
    <w:rsid w:val="00741328"/>
    <w:rsid w:val="00746305"/>
    <w:rsid w:val="00747C24"/>
    <w:rsid w:val="00751186"/>
    <w:rsid w:val="0075531C"/>
    <w:rsid w:val="00756F76"/>
    <w:rsid w:val="007579BB"/>
    <w:rsid w:val="00761FF6"/>
    <w:rsid w:val="007679B9"/>
    <w:rsid w:val="0077024E"/>
    <w:rsid w:val="00771167"/>
    <w:rsid w:val="00776572"/>
    <w:rsid w:val="00776D50"/>
    <w:rsid w:val="00776DF7"/>
    <w:rsid w:val="0077738D"/>
    <w:rsid w:val="007774C2"/>
    <w:rsid w:val="00777789"/>
    <w:rsid w:val="00781986"/>
    <w:rsid w:val="00785513"/>
    <w:rsid w:val="00787771"/>
    <w:rsid w:val="00787D28"/>
    <w:rsid w:val="0079000C"/>
    <w:rsid w:val="0079052A"/>
    <w:rsid w:val="00790D93"/>
    <w:rsid w:val="007918CE"/>
    <w:rsid w:val="00791CD7"/>
    <w:rsid w:val="007937DF"/>
    <w:rsid w:val="0079430D"/>
    <w:rsid w:val="00796073"/>
    <w:rsid w:val="0079754C"/>
    <w:rsid w:val="007A125C"/>
    <w:rsid w:val="007A1395"/>
    <w:rsid w:val="007A15B8"/>
    <w:rsid w:val="007A4E05"/>
    <w:rsid w:val="007A7341"/>
    <w:rsid w:val="007B19CE"/>
    <w:rsid w:val="007B5CAA"/>
    <w:rsid w:val="007B5F83"/>
    <w:rsid w:val="007B69A4"/>
    <w:rsid w:val="007B7C23"/>
    <w:rsid w:val="007C0255"/>
    <w:rsid w:val="007C031D"/>
    <w:rsid w:val="007C09C8"/>
    <w:rsid w:val="007C0C22"/>
    <w:rsid w:val="007C13ED"/>
    <w:rsid w:val="007C2707"/>
    <w:rsid w:val="007D08C9"/>
    <w:rsid w:val="007D13F7"/>
    <w:rsid w:val="007D3572"/>
    <w:rsid w:val="007D501A"/>
    <w:rsid w:val="007E0D36"/>
    <w:rsid w:val="007E1654"/>
    <w:rsid w:val="007E285B"/>
    <w:rsid w:val="007E3F65"/>
    <w:rsid w:val="007E4F6C"/>
    <w:rsid w:val="007E5253"/>
    <w:rsid w:val="007E52EA"/>
    <w:rsid w:val="007E57A5"/>
    <w:rsid w:val="007E6875"/>
    <w:rsid w:val="007E68F6"/>
    <w:rsid w:val="007E6EF9"/>
    <w:rsid w:val="007F0511"/>
    <w:rsid w:val="007F2AE5"/>
    <w:rsid w:val="007F3775"/>
    <w:rsid w:val="007F3B2E"/>
    <w:rsid w:val="007F4C69"/>
    <w:rsid w:val="007F6822"/>
    <w:rsid w:val="007F6AB0"/>
    <w:rsid w:val="008009AF"/>
    <w:rsid w:val="00800A24"/>
    <w:rsid w:val="008010EF"/>
    <w:rsid w:val="00803805"/>
    <w:rsid w:val="008044C5"/>
    <w:rsid w:val="00804544"/>
    <w:rsid w:val="0080582D"/>
    <w:rsid w:val="00806AC5"/>
    <w:rsid w:val="00806D9B"/>
    <w:rsid w:val="0080756C"/>
    <w:rsid w:val="00812ACB"/>
    <w:rsid w:val="008147F8"/>
    <w:rsid w:val="00821930"/>
    <w:rsid w:val="00821B3A"/>
    <w:rsid w:val="00823A5E"/>
    <w:rsid w:val="008267D4"/>
    <w:rsid w:val="00830CDC"/>
    <w:rsid w:val="00831204"/>
    <w:rsid w:val="00831208"/>
    <w:rsid w:val="00832BF8"/>
    <w:rsid w:val="00834300"/>
    <w:rsid w:val="00835A02"/>
    <w:rsid w:val="00835A3D"/>
    <w:rsid w:val="00835E15"/>
    <w:rsid w:val="0084078A"/>
    <w:rsid w:val="00840D5F"/>
    <w:rsid w:val="00841504"/>
    <w:rsid w:val="008429CF"/>
    <w:rsid w:val="00842B13"/>
    <w:rsid w:val="008446E2"/>
    <w:rsid w:val="008459A0"/>
    <w:rsid w:val="00847E19"/>
    <w:rsid w:val="00850CD3"/>
    <w:rsid w:val="0085112C"/>
    <w:rsid w:val="00853ABF"/>
    <w:rsid w:val="00854875"/>
    <w:rsid w:val="008559F1"/>
    <w:rsid w:val="00855E5A"/>
    <w:rsid w:val="00856D02"/>
    <w:rsid w:val="008601A9"/>
    <w:rsid w:val="00860AF5"/>
    <w:rsid w:val="00865B0D"/>
    <w:rsid w:val="00871B33"/>
    <w:rsid w:val="00872949"/>
    <w:rsid w:val="008731C2"/>
    <w:rsid w:val="00875A5C"/>
    <w:rsid w:val="008779D8"/>
    <w:rsid w:val="008821F3"/>
    <w:rsid w:val="00886C81"/>
    <w:rsid w:val="00887874"/>
    <w:rsid w:val="0089056E"/>
    <w:rsid w:val="008920DF"/>
    <w:rsid w:val="008941DB"/>
    <w:rsid w:val="00895D7E"/>
    <w:rsid w:val="008974A0"/>
    <w:rsid w:val="008A0146"/>
    <w:rsid w:val="008A16EA"/>
    <w:rsid w:val="008A478F"/>
    <w:rsid w:val="008A580D"/>
    <w:rsid w:val="008B6162"/>
    <w:rsid w:val="008B6202"/>
    <w:rsid w:val="008C04DF"/>
    <w:rsid w:val="008C1971"/>
    <w:rsid w:val="008C1AF7"/>
    <w:rsid w:val="008C57D5"/>
    <w:rsid w:val="008C65B2"/>
    <w:rsid w:val="008C7372"/>
    <w:rsid w:val="008C7630"/>
    <w:rsid w:val="008D0EE5"/>
    <w:rsid w:val="008D2CAF"/>
    <w:rsid w:val="008D3A48"/>
    <w:rsid w:val="008D3ACE"/>
    <w:rsid w:val="008D412F"/>
    <w:rsid w:val="008D459C"/>
    <w:rsid w:val="008D4921"/>
    <w:rsid w:val="008D51CC"/>
    <w:rsid w:val="008D5205"/>
    <w:rsid w:val="008E1D57"/>
    <w:rsid w:val="008E42DD"/>
    <w:rsid w:val="008E4F95"/>
    <w:rsid w:val="008E5183"/>
    <w:rsid w:val="008E6604"/>
    <w:rsid w:val="008F4D52"/>
    <w:rsid w:val="008F4E41"/>
    <w:rsid w:val="008F7F2E"/>
    <w:rsid w:val="00900D8D"/>
    <w:rsid w:val="00902DF4"/>
    <w:rsid w:val="00903257"/>
    <w:rsid w:val="0090408D"/>
    <w:rsid w:val="00904E6B"/>
    <w:rsid w:val="0090651C"/>
    <w:rsid w:val="00906AF9"/>
    <w:rsid w:val="00906EEC"/>
    <w:rsid w:val="00914204"/>
    <w:rsid w:val="00915836"/>
    <w:rsid w:val="00915C7E"/>
    <w:rsid w:val="00922606"/>
    <w:rsid w:val="00922676"/>
    <w:rsid w:val="009229AF"/>
    <w:rsid w:val="00922D31"/>
    <w:rsid w:val="0092559F"/>
    <w:rsid w:val="00925D03"/>
    <w:rsid w:val="0092650F"/>
    <w:rsid w:val="00927AD9"/>
    <w:rsid w:val="009302E6"/>
    <w:rsid w:val="00931141"/>
    <w:rsid w:val="00931DEA"/>
    <w:rsid w:val="0093298E"/>
    <w:rsid w:val="0093393C"/>
    <w:rsid w:val="00935665"/>
    <w:rsid w:val="00935B30"/>
    <w:rsid w:val="00936A4E"/>
    <w:rsid w:val="00936B6F"/>
    <w:rsid w:val="0093794A"/>
    <w:rsid w:val="00940B2D"/>
    <w:rsid w:val="00940C0B"/>
    <w:rsid w:val="00941580"/>
    <w:rsid w:val="00942457"/>
    <w:rsid w:val="00943BF1"/>
    <w:rsid w:val="00944E0C"/>
    <w:rsid w:val="00950D81"/>
    <w:rsid w:val="00953772"/>
    <w:rsid w:val="009543EB"/>
    <w:rsid w:val="0095684F"/>
    <w:rsid w:val="009623AB"/>
    <w:rsid w:val="00963321"/>
    <w:rsid w:val="00966C1C"/>
    <w:rsid w:val="00970053"/>
    <w:rsid w:val="00970A6B"/>
    <w:rsid w:val="009755B0"/>
    <w:rsid w:val="009763C4"/>
    <w:rsid w:val="009803F1"/>
    <w:rsid w:val="009844F7"/>
    <w:rsid w:val="009906A3"/>
    <w:rsid w:val="0099079E"/>
    <w:rsid w:val="00993F1F"/>
    <w:rsid w:val="00995FFD"/>
    <w:rsid w:val="009A099C"/>
    <w:rsid w:val="009A1099"/>
    <w:rsid w:val="009A45B0"/>
    <w:rsid w:val="009A6A6F"/>
    <w:rsid w:val="009A774A"/>
    <w:rsid w:val="009B0615"/>
    <w:rsid w:val="009B102E"/>
    <w:rsid w:val="009B1B69"/>
    <w:rsid w:val="009B1C66"/>
    <w:rsid w:val="009B2F56"/>
    <w:rsid w:val="009B4E32"/>
    <w:rsid w:val="009B5BC4"/>
    <w:rsid w:val="009B613D"/>
    <w:rsid w:val="009B73BD"/>
    <w:rsid w:val="009C344F"/>
    <w:rsid w:val="009C470D"/>
    <w:rsid w:val="009C5C82"/>
    <w:rsid w:val="009C638B"/>
    <w:rsid w:val="009C77CF"/>
    <w:rsid w:val="009D1010"/>
    <w:rsid w:val="009D3626"/>
    <w:rsid w:val="009D47AE"/>
    <w:rsid w:val="009D5CC8"/>
    <w:rsid w:val="009D68FB"/>
    <w:rsid w:val="009D7EDF"/>
    <w:rsid w:val="009E04B3"/>
    <w:rsid w:val="009E0DFC"/>
    <w:rsid w:val="009E377E"/>
    <w:rsid w:val="009E428C"/>
    <w:rsid w:val="009E5B74"/>
    <w:rsid w:val="009E6953"/>
    <w:rsid w:val="009E7C14"/>
    <w:rsid w:val="009F0092"/>
    <w:rsid w:val="009F0234"/>
    <w:rsid w:val="009F14BD"/>
    <w:rsid w:val="009F1543"/>
    <w:rsid w:val="009F419C"/>
    <w:rsid w:val="009F43E0"/>
    <w:rsid w:val="009F499B"/>
    <w:rsid w:val="009F4CFF"/>
    <w:rsid w:val="009F657C"/>
    <w:rsid w:val="009F6635"/>
    <w:rsid w:val="009F6D7E"/>
    <w:rsid w:val="009F7D72"/>
    <w:rsid w:val="00A038E1"/>
    <w:rsid w:val="00A055A5"/>
    <w:rsid w:val="00A060F8"/>
    <w:rsid w:val="00A1117E"/>
    <w:rsid w:val="00A121F0"/>
    <w:rsid w:val="00A12940"/>
    <w:rsid w:val="00A12A51"/>
    <w:rsid w:val="00A12A7C"/>
    <w:rsid w:val="00A1330E"/>
    <w:rsid w:val="00A14062"/>
    <w:rsid w:val="00A20E05"/>
    <w:rsid w:val="00A22307"/>
    <w:rsid w:val="00A224B8"/>
    <w:rsid w:val="00A2471D"/>
    <w:rsid w:val="00A248B3"/>
    <w:rsid w:val="00A25E48"/>
    <w:rsid w:val="00A32186"/>
    <w:rsid w:val="00A3285A"/>
    <w:rsid w:val="00A331BD"/>
    <w:rsid w:val="00A339EA"/>
    <w:rsid w:val="00A33ED8"/>
    <w:rsid w:val="00A3644B"/>
    <w:rsid w:val="00A37A1E"/>
    <w:rsid w:val="00A402A1"/>
    <w:rsid w:val="00A407E8"/>
    <w:rsid w:val="00A40EEC"/>
    <w:rsid w:val="00A4289F"/>
    <w:rsid w:val="00A44175"/>
    <w:rsid w:val="00A44A1A"/>
    <w:rsid w:val="00A4565E"/>
    <w:rsid w:val="00A47893"/>
    <w:rsid w:val="00A50D22"/>
    <w:rsid w:val="00A512C3"/>
    <w:rsid w:val="00A52169"/>
    <w:rsid w:val="00A53191"/>
    <w:rsid w:val="00A53390"/>
    <w:rsid w:val="00A56415"/>
    <w:rsid w:val="00A571FE"/>
    <w:rsid w:val="00A60395"/>
    <w:rsid w:val="00A6183D"/>
    <w:rsid w:val="00A6287E"/>
    <w:rsid w:val="00A63B1B"/>
    <w:rsid w:val="00A735A2"/>
    <w:rsid w:val="00A7384C"/>
    <w:rsid w:val="00A744FF"/>
    <w:rsid w:val="00A77C2C"/>
    <w:rsid w:val="00A77DAE"/>
    <w:rsid w:val="00A80062"/>
    <w:rsid w:val="00A84012"/>
    <w:rsid w:val="00A856EB"/>
    <w:rsid w:val="00A9022E"/>
    <w:rsid w:val="00A90577"/>
    <w:rsid w:val="00A914E1"/>
    <w:rsid w:val="00A91861"/>
    <w:rsid w:val="00A96322"/>
    <w:rsid w:val="00A97DAE"/>
    <w:rsid w:val="00AA1165"/>
    <w:rsid w:val="00AA224B"/>
    <w:rsid w:val="00AA2B09"/>
    <w:rsid w:val="00AA3F31"/>
    <w:rsid w:val="00AA4625"/>
    <w:rsid w:val="00AB099E"/>
    <w:rsid w:val="00AB1F1A"/>
    <w:rsid w:val="00AB3DFA"/>
    <w:rsid w:val="00AB7596"/>
    <w:rsid w:val="00AB7F66"/>
    <w:rsid w:val="00AC01BE"/>
    <w:rsid w:val="00AC16FF"/>
    <w:rsid w:val="00AC4F34"/>
    <w:rsid w:val="00AC59F8"/>
    <w:rsid w:val="00AC5A40"/>
    <w:rsid w:val="00AC6401"/>
    <w:rsid w:val="00AC6EC2"/>
    <w:rsid w:val="00AD23A1"/>
    <w:rsid w:val="00AD4DCE"/>
    <w:rsid w:val="00AD64E7"/>
    <w:rsid w:val="00AE1301"/>
    <w:rsid w:val="00AE3A63"/>
    <w:rsid w:val="00AE5435"/>
    <w:rsid w:val="00AF225E"/>
    <w:rsid w:val="00AF3ABE"/>
    <w:rsid w:val="00AF41EA"/>
    <w:rsid w:val="00AF45A8"/>
    <w:rsid w:val="00AF5299"/>
    <w:rsid w:val="00AF61CB"/>
    <w:rsid w:val="00AF62EE"/>
    <w:rsid w:val="00AF6959"/>
    <w:rsid w:val="00AF6D17"/>
    <w:rsid w:val="00AF7138"/>
    <w:rsid w:val="00B00520"/>
    <w:rsid w:val="00B00F8E"/>
    <w:rsid w:val="00B014D0"/>
    <w:rsid w:val="00B025B6"/>
    <w:rsid w:val="00B031DE"/>
    <w:rsid w:val="00B03CB0"/>
    <w:rsid w:val="00B041A9"/>
    <w:rsid w:val="00B0465E"/>
    <w:rsid w:val="00B106A9"/>
    <w:rsid w:val="00B1218F"/>
    <w:rsid w:val="00B13262"/>
    <w:rsid w:val="00B1369D"/>
    <w:rsid w:val="00B14C20"/>
    <w:rsid w:val="00B14E3C"/>
    <w:rsid w:val="00B15DD6"/>
    <w:rsid w:val="00B161FE"/>
    <w:rsid w:val="00B16238"/>
    <w:rsid w:val="00B234C7"/>
    <w:rsid w:val="00B23A3C"/>
    <w:rsid w:val="00B23F8B"/>
    <w:rsid w:val="00B25385"/>
    <w:rsid w:val="00B27724"/>
    <w:rsid w:val="00B30D5B"/>
    <w:rsid w:val="00B30F3D"/>
    <w:rsid w:val="00B339A4"/>
    <w:rsid w:val="00B37764"/>
    <w:rsid w:val="00B37858"/>
    <w:rsid w:val="00B42057"/>
    <w:rsid w:val="00B432A0"/>
    <w:rsid w:val="00B4738B"/>
    <w:rsid w:val="00B47520"/>
    <w:rsid w:val="00B50E09"/>
    <w:rsid w:val="00B517F7"/>
    <w:rsid w:val="00B5261B"/>
    <w:rsid w:val="00B52AFC"/>
    <w:rsid w:val="00B52EFE"/>
    <w:rsid w:val="00B54C1E"/>
    <w:rsid w:val="00B54DC8"/>
    <w:rsid w:val="00B55E5A"/>
    <w:rsid w:val="00B57F61"/>
    <w:rsid w:val="00B60DCA"/>
    <w:rsid w:val="00B61E88"/>
    <w:rsid w:val="00B62DB1"/>
    <w:rsid w:val="00B63C73"/>
    <w:rsid w:val="00B66E1A"/>
    <w:rsid w:val="00B66EDD"/>
    <w:rsid w:val="00B672B3"/>
    <w:rsid w:val="00B67C70"/>
    <w:rsid w:val="00B74015"/>
    <w:rsid w:val="00B76DB6"/>
    <w:rsid w:val="00B771FB"/>
    <w:rsid w:val="00B779C5"/>
    <w:rsid w:val="00B77DBF"/>
    <w:rsid w:val="00B804B4"/>
    <w:rsid w:val="00B810DF"/>
    <w:rsid w:val="00B81FBB"/>
    <w:rsid w:val="00B83EF2"/>
    <w:rsid w:val="00B901DA"/>
    <w:rsid w:val="00B902B9"/>
    <w:rsid w:val="00B90B80"/>
    <w:rsid w:val="00B92C22"/>
    <w:rsid w:val="00B92C59"/>
    <w:rsid w:val="00B93BEC"/>
    <w:rsid w:val="00B94BB7"/>
    <w:rsid w:val="00B95BFE"/>
    <w:rsid w:val="00B96C22"/>
    <w:rsid w:val="00B96DF4"/>
    <w:rsid w:val="00B972D3"/>
    <w:rsid w:val="00BA1705"/>
    <w:rsid w:val="00BA2132"/>
    <w:rsid w:val="00BA38D8"/>
    <w:rsid w:val="00BA5AAA"/>
    <w:rsid w:val="00BB1522"/>
    <w:rsid w:val="00BB31A0"/>
    <w:rsid w:val="00BB4389"/>
    <w:rsid w:val="00BB61BE"/>
    <w:rsid w:val="00BB7618"/>
    <w:rsid w:val="00BC23DE"/>
    <w:rsid w:val="00BC2797"/>
    <w:rsid w:val="00BC4227"/>
    <w:rsid w:val="00BC7D97"/>
    <w:rsid w:val="00BC7E05"/>
    <w:rsid w:val="00BD1366"/>
    <w:rsid w:val="00BD2785"/>
    <w:rsid w:val="00BD2C47"/>
    <w:rsid w:val="00BD3419"/>
    <w:rsid w:val="00BD43E5"/>
    <w:rsid w:val="00BD454A"/>
    <w:rsid w:val="00BD4BE0"/>
    <w:rsid w:val="00BD59E3"/>
    <w:rsid w:val="00BD6145"/>
    <w:rsid w:val="00BD7FD7"/>
    <w:rsid w:val="00BE0315"/>
    <w:rsid w:val="00BE05F0"/>
    <w:rsid w:val="00BE0683"/>
    <w:rsid w:val="00BE12EA"/>
    <w:rsid w:val="00BE1772"/>
    <w:rsid w:val="00BE18DF"/>
    <w:rsid w:val="00BE1DEB"/>
    <w:rsid w:val="00BE4F34"/>
    <w:rsid w:val="00BF0D5C"/>
    <w:rsid w:val="00BF0E8E"/>
    <w:rsid w:val="00BF1A7F"/>
    <w:rsid w:val="00BF1EE9"/>
    <w:rsid w:val="00BF7C4C"/>
    <w:rsid w:val="00C00F37"/>
    <w:rsid w:val="00C03318"/>
    <w:rsid w:val="00C03F51"/>
    <w:rsid w:val="00C06265"/>
    <w:rsid w:val="00C10CC7"/>
    <w:rsid w:val="00C11947"/>
    <w:rsid w:val="00C12286"/>
    <w:rsid w:val="00C13225"/>
    <w:rsid w:val="00C1491C"/>
    <w:rsid w:val="00C14C86"/>
    <w:rsid w:val="00C15A31"/>
    <w:rsid w:val="00C15B0A"/>
    <w:rsid w:val="00C17373"/>
    <w:rsid w:val="00C22002"/>
    <w:rsid w:val="00C229F8"/>
    <w:rsid w:val="00C25803"/>
    <w:rsid w:val="00C26FD3"/>
    <w:rsid w:val="00C31672"/>
    <w:rsid w:val="00C322F1"/>
    <w:rsid w:val="00C331A2"/>
    <w:rsid w:val="00C33284"/>
    <w:rsid w:val="00C371FA"/>
    <w:rsid w:val="00C37468"/>
    <w:rsid w:val="00C41B5E"/>
    <w:rsid w:val="00C42404"/>
    <w:rsid w:val="00C4251D"/>
    <w:rsid w:val="00C428EE"/>
    <w:rsid w:val="00C44F67"/>
    <w:rsid w:val="00C46167"/>
    <w:rsid w:val="00C46F61"/>
    <w:rsid w:val="00C47BB2"/>
    <w:rsid w:val="00C502B8"/>
    <w:rsid w:val="00C51C28"/>
    <w:rsid w:val="00C53456"/>
    <w:rsid w:val="00C57CC0"/>
    <w:rsid w:val="00C60C2D"/>
    <w:rsid w:val="00C622D2"/>
    <w:rsid w:val="00C62782"/>
    <w:rsid w:val="00C67B88"/>
    <w:rsid w:val="00C70043"/>
    <w:rsid w:val="00C70E0D"/>
    <w:rsid w:val="00C730B4"/>
    <w:rsid w:val="00C73861"/>
    <w:rsid w:val="00C7432C"/>
    <w:rsid w:val="00C75791"/>
    <w:rsid w:val="00C757A1"/>
    <w:rsid w:val="00C76304"/>
    <w:rsid w:val="00C81B94"/>
    <w:rsid w:val="00C84955"/>
    <w:rsid w:val="00C86235"/>
    <w:rsid w:val="00C86467"/>
    <w:rsid w:val="00C95C72"/>
    <w:rsid w:val="00C96B86"/>
    <w:rsid w:val="00C97DF7"/>
    <w:rsid w:val="00CA02C8"/>
    <w:rsid w:val="00CA1650"/>
    <w:rsid w:val="00CA1A6A"/>
    <w:rsid w:val="00CA1C63"/>
    <w:rsid w:val="00CA4B5A"/>
    <w:rsid w:val="00CA6108"/>
    <w:rsid w:val="00CA72D5"/>
    <w:rsid w:val="00CA74A4"/>
    <w:rsid w:val="00CA7A7F"/>
    <w:rsid w:val="00CB0C9E"/>
    <w:rsid w:val="00CB54CD"/>
    <w:rsid w:val="00CB766B"/>
    <w:rsid w:val="00CC356D"/>
    <w:rsid w:val="00CC5D9E"/>
    <w:rsid w:val="00CC78A4"/>
    <w:rsid w:val="00CC7B28"/>
    <w:rsid w:val="00CD109D"/>
    <w:rsid w:val="00CD1E2C"/>
    <w:rsid w:val="00CD1E9D"/>
    <w:rsid w:val="00CD5347"/>
    <w:rsid w:val="00CD5D7C"/>
    <w:rsid w:val="00CD6ABB"/>
    <w:rsid w:val="00CD7C87"/>
    <w:rsid w:val="00CE55C5"/>
    <w:rsid w:val="00CE5CF2"/>
    <w:rsid w:val="00CE63AE"/>
    <w:rsid w:val="00CE6B49"/>
    <w:rsid w:val="00CF0D80"/>
    <w:rsid w:val="00CF4D5D"/>
    <w:rsid w:val="00D00A5D"/>
    <w:rsid w:val="00D00A87"/>
    <w:rsid w:val="00D022C1"/>
    <w:rsid w:val="00D02F2F"/>
    <w:rsid w:val="00D0373F"/>
    <w:rsid w:val="00D03F31"/>
    <w:rsid w:val="00D063A4"/>
    <w:rsid w:val="00D10078"/>
    <w:rsid w:val="00D13087"/>
    <w:rsid w:val="00D139AB"/>
    <w:rsid w:val="00D16FA0"/>
    <w:rsid w:val="00D17A8C"/>
    <w:rsid w:val="00D230C6"/>
    <w:rsid w:val="00D232D7"/>
    <w:rsid w:val="00D23C49"/>
    <w:rsid w:val="00D241FF"/>
    <w:rsid w:val="00D25CA7"/>
    <w:rsid w:val="00D25D36"/>
    <w:rsid w:val="00D26748"/>
    <w:rsid w:val="00D26D80"/>
    <w:rsid w:val="00D26DCE"/>
    <w:rsid w:val="00D31271"/>
    <w:rsid w:val="00D31A60"/>
    <w:rsid w:val="00D36560"/>
    <w:rsid w:val="00D37AF1"/>
    <w:rsid w:val="00D37DC8"/>
    <w:rsid w:val="00D40BA1"/>
    <w:rsid w:val="00D41AF6"/>
    <w:rsid w:val="00D44C2A"/>
    <w:rsid w:val="00D44CBB"/>
    <w:rsid w:val="00D4784A"/>
    <w:rsid w:val="00D5130A"/>
    <w:rsid w:val="00D514BE"/>
    <w:rsid w:val="00D51769"/>
    <w:rsid w:val="00D51B52"/>
    <w:rsid w:val="00D522D8"/>
    <w:rsid w:val="00D54613"/>
    <w:rsid w:val="00D5491C"/>
    <w:rsid w:val="00D554E8"/>
    <w:rsid w:val="00D5748E"/>
    <w:rsid w:val="00D57D1C"/>
    <w:rsid w:val="00D612A9"/>
    <w:rsid w:val="00D61896"/>
    <w:rsid w:val="00D6286E"/>
    <w:rsid w:val="00D64B94"/>
    <w:rsid w:val="00D66935"/>
    <w:rsid w:val="00D77D52"/>
    <w:rsid w:val="00D80021"/>
    <w:rsid w:val="00D84A63"/>
    <w:rsid w:val="00D8724C"/>
    <w:rsid w:val="00D872B7"/>
    <w:rsid w:val="00D90255"/>
    <w:rsid w:val="00D91ABD"/>
    <w:rsid w:val="00D9293F"/>
    <w:rsid w:val="00D92EAF"/>
    <w:rsid w:val="00D938C1"/>
    <w:rsid w:val="00DA098A"/>
    <w:rsid w:val="00DA30CA"/>
    <w:rsid w:val="00DA45DB"/>
    <w:rsid w:val="00DA45F2"/>
    <w:rsid w:val="00DA47A8"/>
    <w:rsid w:val="00DA7D17"/>
    <w:rsid w:val="00DB3592"/>
    <w:rsid w:val="00DB4C93"/>
    <w:rsid w:val="00DC1CCB"/>
    <w:rsid w:val="00DC2657"/>
    <w:rsid w:val="00DC3747"/>
    <w:rsid w:val="00DC399D"/>
    <w:rsid w:val="00DC3F8A"/>
    <w:rsid w:val="00DC4693"/>
    <w:rsid w:val="00DC60EC"/>
    <w:rsid w:val="00DD0070"/>
    <w:rsid w:val="00DD46E9"/>
    <w:rsid w:val="00DD5A8A"/>
    <w:rsid w:val="00DE0D00"/>
    <w:rsid w:val="00DE16CD"/>
    <w:rsid w:val="00DE3F43"/>
    <w:rsid w:val="00DE42DA"/>
    <w:rsid w:val="00DE5FE7"/>
    <w:rsid w:val="00DE6492"/>
    <w:rsid w:val="00DE7070"/>
    <w:rsid w:val="00DF280B"/>
    <w:rsid w:val="00DF2853"/>
    <w:rsid w:val="00DF28B7"/>
    <w:rsid w:val="00DF3B86"/>
    <w:rsid w:val="00DF406D"/>
    <w:rsid w:val="00DF4E63"/>
    <w:rsid w:val="00DF4F0D"/>
    <w:rsid w:val="00DF68C0"/>
    <w:rsid w:val="00DF7E38"/>
    <w:rsid w:val="00DF7F5A"/>
    <w:rsid w:val="00E009BF"/>
    <w:rsid w:val="00E00FFD"/>
    <w:rsid w:val="00E0218A"/>
    <w:rsid w:val="00E0366E"/>
    <w:rsid w:val="00E03C0A"/>
    <w:rsid w:val="00E04C02"/>
    <w:rsid w:val="00E04C51"/>
    <w:rsid w:val="00E053B2"/>
    <w:rsid w:val="00E11ABF"/>
    <w:rsid w:val="00E139D5"/>
    <w:rsid w:val="00E13F60"/>
    <w:rsid w:val="00E14CA5"/>
    <w:rsid w:val="00E151FB"/>
    <w:rsid w:val="00E152DF"/>
    <w:rsid w:val="00E22D1B"/>
    <w:rsid w:val="00E235F5"/>
    <w:rsid w:val="00E23783"/>
    <w:rsid w:val="00E26411"/>
    <w:rsid w:val="00E307B6"/>
    <w:rsid w:val="00E325B8"/>
    <w:rsid w:val="00E41AD6"/>
    <w:rsid w:val="00E41AE7"/>
    <w:rsid w:val="00E42017"/>
    <w:rsid w:val="00E42730"/>
    <w:rsid w:val="00E42AE5"/>
    <w:rsid w:val="00E45D06"/>
    <w:rsid w:val="00E46268"/>
    <w:rsid w:val="00E463A8"/>
    <w:rsid w:val="00E46400"/>
    <w:rsid w:val="00E47776"/>
    <w:rsid w:val="00E5564A"/>
    <w:rsid w:val="00E55854"/>
    <w:rsid w:val="00E55E7B"/>
    <w:rsid w:val="00E61821"/>
    <w:rsid w:val="00E628AD"/>
    <w:rsid w:val="00E63509"/>
    <w:rsid w:val="00E64339"/>
    <w:rsid w:val="00E65B90"/>
    <w:rsid w:val="00E677BD"/>
    <w:rsid w:val="00E67F2C"/>
    <w:rsid w:val="00E70C44"/>
    <w:rsid w:val="00E7157C"/>
    <w:rsid w:val="00E72B6E"/>
    <w:rsid w:val="00E73A04"/>
    <w:rsid w:val="00E75611"/>
    <w:rsid w:val="00E75FFA"/>
    <w:rsid w:val="00E8114B"/>
    <w:rsid w:val="00E829ED"/>
    <w:rsid w:val="00E82E32"/>
    <w:rsid w:val="00E872A7"/>
    <w:rsid w:val="00E90E23"/>
    <w:rsid w:val="00E94BFB"/>
    <w:rsid w:val="00E95737"/>
    <w:rsid w:val="00E978C2"/>
    <w:rsid w:val="00EA19E9"/>
    <w:rsid w:val="00EA1E61"/>
    <w:rsid w:val="00EA29F6"/>
    <w:rsid w:val="00EA317D"/>
    <w:rsid w:val="00EA369D"/>
    <w:rsid w:val="00EA411E"/>
    <w:rsid w:val="00EA46E8"/>
    <w:rsid w:val="00EA540C"/>
    <w:rsid w:val="00EA641F"/>
    <w:rsid w:val="00EA6A5A"/>
    <w:rsid w:val="00EB19E0"/>
    <w:rsid w:val="00EB5A80"/>
    <w:rsid w:val="00EC07DD"/>
    <w:rsid w:val="00EC0D7C"/>
    <w:rsid w:val="00EC3652"/>
    <w:rsid w:val="00EC37DF"/>
    <w:rsid w:val="00EC3C49"/>
    <w:rsid w:val="00EC45BB"/>
    <w:rsid w:val="00EC7F14"/>
    <w:rsid w:val="00ED029A"/>
    <w:rsid w:val="00ED0420"/>
    <w:rsid w:val="00ED2167"/>
    <w:rsid w:val="00ED3643"/>
    <w:rsid w:val="00ED60E8"/>
    <w:rsid w:val="00ED66F9"/>
    <w:rsid w:val="00ED7D4E"/>
    <w:rsid w:val="00EE220A"/>
    <w:rsid w:val="00EE2853"/>
    <w:rsid w:val="00EE33A1"/>
    <w:rsid w:val="00EE4448"/>
    <w:rsid w:val="00EE4B82"/>
    <w:rsid w:val="00EE4F4D"/>
    <w:rsid w:val="00EE5888"/>
    <w:rsid w:val="00EE75B4"/>
    <w:rsid w:val="00EE7D4A"/>
    <w:rsid w:val="00EF04C8"/>
    <w:rsid w:val="00EF3BF2"/>
    <w:rsid w:val="00EF5D36"/>
    <w:rsid w:val="00EF62B5"/>
    <w:rsid w:val="00EF66FC"/>
    <w:rsid w:val="00EF6C43"/>
    <w:rsid w:val="00EF770C"/>
    <w:rsid w:val="00EF7D88"/>
    <w:rsid w:val="00F00D14"/>
    <w:rsid w:val="00F0135B"/>
    <w:rsid w:val="00F019D4"/>
    <w:rsid w:val="00F01F8E"/>
    <w:rsid w:val="00F02E73"/>
    <w:rsid w:val="00F04ACF"/>
    <w:rsid w:val="00F10140"/>
    <w:rsid w:val="00F108DB"/>
    <w:rsid w:val="00F11BAF"/>
    <w:rsid w:val="00F11CE3"/>
    <w:rsid w:val="00F12DCA"/>
    <w:rsid w:val="00F15600"/>
    <w:rsid w:val="00F16BC9"/>
    <w:rsid w:val="00F16FDF"/>
    <w:rsid w:val="00F17DCE"/>
    <w:rsid w:val="00F17F64"/>
    <w:rsid w:val="00F22750"/>
    <w:rsid w:val="00F23CA1"/>
    <w:rsid w:val="00F2401A"/>
    <w:rsid w:val="00F24E81"/>
    <w:rsid w:val="00F2646F"/>
    <w:rsid w:val="00F27CBF"/>
    <w:rsid w:val="00F27E65"/>
    <w:rsid w:val="00F30246"/>
    <w:rsid w:val="00F31BFD"/>
    <w:rsid w:val="00F36A35"/>
    <w:rsid w:val="00F405C9"/>
    <w:rsid w:val="00F40A19"/>
    <w:rsid w:val="00F414CD"/>
    <w:rsid w:val="00F414F8"/>
    <w:rsid w:val="00F42591"/>
    <w:rsid w:val="00F42AC2"/>
    <w:rsid w:val="00F43862"/>
    <w:rsid w:val="00F44FA1"/>
    <w:rsid w:val="00F45F43"/>
    <w:rsid w:val="00F4618C"/>
    <w:rsid w:val="00F47626"/>
    <w:rsid w:val="00F476FB"/>
    <w:rsid w:val="00F47CAB"/>
    <w:rsid w:val="00F50275"/>
    <w:rsid w:val="00F505C7"/>
    <w:rsid w:val="00F51366"/>
    <w:rsid w:val="00F513D6"/>
    <w:rsid w:val="00F53EE9"/>
    <w:rsid w:val="00F54824"/>
    <w:rsid w:val="00F5630D"/>
    <w:rsid w:val="00F566F6"/>
    <w:rsid w:val="00F56CE1"/>
    <w:rsid w:val="00F60BC1"/>
    <w:rsid w:val="00F62D01"/>
    <w:rsid w:val="00F62EE5"/>
    <w:rsid w:val="00F63876"/>
    <w:rsid w:val="00F66470"/>
    <w:rsid w:val="00F669C5"/>
    <w:rsid w:val="00F71251"/>
    <w:rsid w:val="00F72DEA"/>
    <w:rsid w:val="00F72E4A"/>
    <w:rsid w:val="00F77007"/>
    <w:rsid w:val="00F803B0"/>
    <w:rsid w:val="00F8085F"/>
    <w:rsid w:val="00F80E14"/>
    <w:rsid w:val="00F80E25"/>
    <w:rsid w:val="00F819C1"/>
    <w:rsid w:val="00F81DAE"/>
    <w:rsid w:val="00F85B4E"/>
    <w:rsid w:val="00F869B7"/>
    <w:rsid w:val="00F9005C"/>
    <w:rsid w:val="00F904AE"/>
    <w:rsid w:val="00F91B3A"/>
    <w:rsid w:val="00F97241"/>
    <w:rsid w:val="00FA0966"/>
    <w:rsid w:val="00FA28A7"/>
    <w:rsid w:val="00FA2FD3"/>
    <w:rsid w:val="00FA4FFB"/>
    <w:rsid w:val="00FA5F30"/>
    <w:rsid w:val="00FA6905"/>
    <w:rsid w:val="00FA6E15"/>
    <w:rsid w:val="00FA7A01"/>
    <w:rsid w:val="00FB03E9"/>
    <w:rsid w:val="00FB4456"/>
    <w:rsid w:val="00FB44CB"/>
    <w:rsid w:val="00FB5D74"/>
    <w:rsid w:val="00FB7D8A"/>
    <w:rsid w:val="00FC008A"/>
    <w:rsid w:val="00FC3A0E"/>
    <w:rsid w:val="00FC4F8D"/>
    <w:rsid w:val="00FC5BD4"/>
    <w:rsid w:val="00FC5D4F"/>
    <w:rsid w:val="00FC62D5"/>
    <w:rsid w:val="00FC7065"/>
    <w:rsid w:val="00FC79D2"/>
    <w:rsid w:val="00FD053E"/>
    <w:rsid w:val="00FD0729"/>
    <w:rsid w:val="00FD0A3A"/>
    <w:rsid w:val="00FD16AF"/>
    <w:rsid w:val="00FD1F4D"/>
    <w:rsid w:val="00FD2A3E"/>
    <w:rsid w:val="00FD6C5F"/>
    <w:rsid w:val="00FD7077"/>
    <w:rsid w:val="00FD7DC2"/>
    <w:rsid w:val="00FE2F89"/>
    <w:rsid w:val="00FE3722"/>
    <w:rsid w:val="00FE5518"/>
    <w:rsid w:val="00FE5BBC"/>
    <w:rsid w:val="00FE6053"/>
    <w:rsid w:val="00FE7508"/>
    <w:rsid w:val="00FF15BD"/>
    <w:rsid w:val="00FF1799"/>
    <w:rsid w:val="00FF4135"/>
    <w:rsid w:val="00FF507F"/>
    <w:rsid w:val="00FF649E"/>
    <w:rsid w:val="00FF6FE3"/>
    <w:rsid w:val="05FC03C1"/>
    <w:rsid w:val="074D254C"/>
    <w:rsid w:val="0CB41A4E"/>
    <w:rsid w:val="180E4708"/>
    <w:rsid w:val="21726942"/>
    <w:rsid w:val="217F21D3"/>
    <w:rsid w:val="23E443FD"/>
    <w:rsid w:val="24DB5972"/>
    <w:rsid w:val="289A77AE"/>
    <w:rsid w:val="29B15B33"/>
    <w:rsid w:val="33C77CFA"/>
    <w:rsid w:val="402F49B1"/>
    <w:rsid w:val="414F176A"/>
    <w:rsid w:val="445C6101"/>
    <w:rsid w:val="4B92297F"/>
    <w:rsid w:val="4D93142C"/>
    <w:rsid w:val="4EA86329"/>
    <w:rsid w:val="52E37F64"/>
    <w:rsid w:val="53081779"/>
    <w:rsid w:val="5A551748"/>
    <w:rsid w:val="5CE648D9"/>
    <w:rsid w:val="611E2006"/>
    <w:rsid w:val="7B1F7BAB"/>
    <w:rsid w:val="7C063F82"/>
    <w:rsid w:val="7DEB2454"/>
  </w:rsids>
  <m:mathPr>
    <m:mathFont m:val="Cambria Math"/>
    <m:brkBin m:val="before"/>
    <m:brkBinSub m:val="--"/>
    <m:smallFrac m:val="1"/>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name="footnote text"/>
    <w:lsdException w:qFormat="1" w:uiPriority="0" w:semiHidden="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qFormat/>
    <w:uiPriority w:val="0"/>
    <w:rPr>
      <w:rFonts w:ascii="Arial" w:hAnsi="Arial" w:eastAsia="Times New Roman" w:cs="Tahoma"/>
      <w:szCs w:val="24"/>
      <w:lang w:val="pt-BR" w:eastAsia="pt-BR" w:bidi="ar-SA"/>
    </w:rPr>
  </w:style>
  <w:style w:type="paragraph" w:styleId="2">
    <w:name w:val="heading 1"/>
    <w:basedOn w:val="1"/>
    <w:next w:val="1"/>
    <w:link w:val="36"/>
    <w:qFormat/>
    <w:uiPriority w:val="0"/>
    <w:pPr>
      <w:keepNext/>
      <w:keepLines/>
      <w:spacing w:before="240"/>
      <w:outlineLvl w:val="0"/>
    </w:pPr>
    <w:rPr>
      <w:rFonts w:asciiTheme="majorHAnsi" w:hAnsiTheme="majorHAnsi" w:eastAsiaTheme="majorEastAsia" w:cstheme="majorBidi"/>
      <w:color w:val="376092" w:themeColor="accent1" w:themeShade="BF"/>
      <w:sz w:val="32"/>
      <w:szCs w:val="32"/>
    </w:rPr>
  </w:style>
  <w:style w:type="paragraph" w:styleId="3">
    <w:name w:val="heading 2"/>
    <w:basedOn w:val="1"/>
    <w:next w:val="1"/>
    <w:link w:val="23"/>
    <w:qFormat/>
    <w:uiPriority w:val="0"/>
    <w:pPr>
      <w:keepNext/>
      <w:tabs>
        <w:tab w:val="left" w:pos="1701"/>
      </w:tabs>
      <w:ind w:right="-1"/>
      <w:jc w:val="center"/>
      <w:outlineLvl w:val="1"/>
    </w:pPr>
    <w:rPr>
      <w:rFonts w:ascii="Times New Roman" w:hAnsi="Times New Roman" w:cs="Times New Roman"/>
      <w:b/>
      <w:color w:val="000000"/>
      <w:szCs w:val="2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Strong"/>
    <w:basedOn w:val="4"/>
    <w:qFormat/>
    <w:uiPriority w:val="22"/>
    <w:rPr>
      <w:b/>
      <w:bCs/>
    </w:rPr>
  </w:style>
  <w:style w:type="character" w:styleId="7">
    <w:name w:val="annotation reference"/>
    <w:basedOn w:val="4"/>
    <w:semiHidden/>
    <w:unhideWhenUsed/>
    <w:qFormat/>
    <w:uiPriority w:val="0"/>
    <w:rPr>
      <w:sz w:val="18"/>
      <w:szCs w:val="18"/>
    </w:rPr>
  </w:style>
  <w:style w:type="character" w:styleId="8">
    <w:name w:val="Emphasis"/>
    <w:basedOn w:val="4"/>
    <w:qFormat/>
    <w:uiPriority w:val="20"/>
    <w:rPr>
      <w:i/>
      <w:iCs/>
    </w:rPr>
  </w:style>
  <w:style w:type="character" w:styleId="9">
    <w:name w:val="footnote reference"/>
    <w:basedOn w:val="4"/>
    <w:semiHidden/>
    <w:unhideWhenUsed/>
    <w:qFormat/>
    <w:uiPriority w:val="99"/>
    <w:rPr>
      <w:vertAlign w:val="superscript"/>
    </w:rPr>
  </w:style>
  <w:style w:type="character" w:styleId="10">
    <w:name w:val="Hyperlink"/>
    <w:qFormat/>
    <w:uiPriority w:val="0"/>
    <w:rPr>
      <w:color w:val="000080"/>
      <w:u w:val="single"/>
    </w:rPr>
  </w:style>
  <w:style w:type="paragraph" w:styleId="11">
    <w:name w:val="Body Text"/>
    <w:basedOn w:val="1"/>
    <w:link w:val="58"/>
    <w:qFormat/>
    <w:uiPriority w:val="0"/>
    <w:pPr>
      <w:jc w:val="both"/>
    </w:pPr>
    <w:rPr>
      <w:rFonts w:ascii="Times New Roman" w:hAnsi="Times New Roman" w:eastAsia="MS Mincho" w:cs="Times New Roman"/>
      <w:sz w:val="24"/>
    </w:rPr>
  </w:style>
  <w:style w:type="paragraph" w:styleId="12">
    <w:name w:val="annotation text"/>
    <w:basedOn w:val="1"/>
    <w:link w:val="38"/>
    <w:unhideWhenUsed/>
    <w:qFormat/>
    <w:uiPriority w:val="0"/>
    <w:rPr>
      <w:sz w:val="24"/>
    </w:rPr>
  </w:style>
  <w:style w:type="paragraph" w:styleId="13">
    <w:name w:val="List Bullet 5"/>
    <w:basedOn w:val="1"/>
    <w:qFormat/>
    <w:uiPriority w:val="0"/>
    <w:pPr>
      <w:numPr>
        <w:ilvl w:val="0"/>
        <w:numId w:val="1"/>
      </w:numPr>
      <w:contextualSpacing/>
    </w:pPr>
  </w:style>
  <w:style w:type="paragraph" w:styleId="14">
    <w:name w:val="Normal (Web)"/>
    <w:basedOn w:val="1"/>
    <w:qFormat/>
    <w:uiPriority w:val="99"/>
    <w:pPr>
      <w:spacing w:before="100" w:beforeAutospacing="1" w:after="100" w:afterAutospacing="1"/>
    </w:pPr>
    <w:rPr>
      <w:rFonts w:ascii="Times New Roman" w:hAnsi="Times New Roman" w:cs="Times New Roman"/>
    </w:rPr>
  </w:style>
  <w:style w:type="paragraph" w:styleId="15">
    <w:name w:val="header"/>
    <w:basedOn w:val="1"/>
    <w:link w:val="33"/>
    <w:unhideWhenUsed/>
    <w:qFormat/>
    <w:uiPriority w:val="0"/>
    <w:pPr>
      <w:tabs>
        <w:tab w:val="center" w:pos="4252"/>
        <w:tab w:val="right" w:pos="8504"/>
      </w:tabs>
    </w:pPr>
  </w:style>
  <w:style w:type="paragraph" w:styleId="16">
    <w:name w:val="annotation subject"/>
    <w:basedOn w:val="12"/>
    <w:next w:val="12"/>
    <w:link w:val="39"/>
    <w:semiHidden/>
    <w:unhideWhenUsed/>
    <w:qFormat/>
    <w:uiPriority w:val="0"/>
    <w:rPr>
      <w:b/>
      <w:bCs/>
      <w:sz w:val="20"/>
      <w:szCs w:val="20"/>
    </w:rPr>
  </w:style>
  <w:style w:type="paragraph" w:styleId="17">
    <w:name w:val="footer"/>
    <w:basedOn w:val="1"/>
    <w:link w:val="34"/>
    <w:unhideWhenUsed/>
    <w:qFormat/>
    <w:uiPriority w:val="99"/>
    <w:pPr>
      <w:tabs>
        <w:tab w:val="center" w:pos="4252"/>
        <w:tab w:val="right" w:pos="8504"/>
      </w:tabs>
    </w:pPr>
  </w:style>
  <w:style w:type="paragraph" w:styleId="18">
    <w:name w:val="Balloon Text"/>
    <w:basedOn w:val="1"/>
    <w:link w:val="22"/>
    <w:qFormat/>
    <w:uiPriority w:val="0"/>
    <w:rPr>
      <w:rFonts w:ascii="Tahoma" w:hAnsi="Tahoma"/>
      <w:sz w:val="16"/>
      <w:szCs w:val="16"/>
    </w:rPr>
  </w:style>
  <w:style w:type="paragraph" w:styleId="19">
    <w:name w:val="footnote text"/>
    <w:basedOn w:val="1"/>
    <w:link w:val="57"/>
    <w:semiHidden/>
    <w:unhideWhenUsed/>
    <w:qFormat/>
    <w:uiPriority w:val="99"/>
    <w:rPr>
      <w:rFonts w:ascii="Times New Roman" w:hAnsi="Times New Roman" w:cs="Times New Roman"/>
      <w:szCs w:val="20"/>
    </w:rPr>
  </w:style>
  <w:style w:type="table" w:styleId="20">
    <w:name w:val="Table Grid"/>
    <w:basedOn w:val="5"/>
    <w:qFormat/>
    <w:uiPriority w:val="0"/>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1">
    <w:name w:val="List Paragraph"/>
    <w:basedOn w:val="1"/>
    <w:link w:val="59"/>
    <w:qFormat/>
    <w:uiPriority w:val="34"/>
    <w:pPr>
      <w:ind w:left="720"/>
      <w:contextualSpacing/>
    </w:pPr>
  </w:style>
  <w:style w:type="character" w:customStyle="1" w:styleId="22">
    <w:name w:val="Texto de balão Char"/>
    <w:link w:val="18"/>
    <w:qFormat/>
    <w:uiPriority w:val="0"/>
    <w:rPr>
      <w:rFonts w:ascii="Tahoma" w:hAnsi="Tahoma" w:cs="Tahoma"/>
      <w:sz w:val="16"/>
      <w:szCs w:val="16"/>
    </w:rPr>
  </w:style>
  <w:style w:type="character" w:customStyle="1" w:styleId="23">
    <w:name w:val="Título 2 Char"/>
    <w:link w:val="3"/>
    <w:qFormat/>
    <w:uiPriority w:val="0"/>
    <w:rPr>
      <w:b/>
      <w:color w:val="000000"/>
      <w:sz w:val="24"/>
    </w:rPr>
  </w:style>
  <w:style w:type="paragraph" w:customStyle="1" w:styleId="24">
    <w:name w:val="Nível 2"/>
    <w:basedOn w:val="1"/>
    <w:next w:val="1"/>
    <w:qFormat/>
    <w:uiPriority w:val="0"/>
    <w:pPr>
      <w:spacing w:after="120"/>
      <w:jc w:val="both"/>
    </w:pPr>
    <w:rPr>
      <w:rFonts w:cs="Times New Roman"/>
      <w:b/>
      <w:szCs w:val="20"/>
    </w:rPr>
  </w:style>
  <w:style w:type="character" w:customStyle="1" w:styleId="25">
    <w:name w:val="normal__char1"/>
    <w:qFormat/>
    <w:uiPriority w:val="0"/>
    <w:rPr>
      <w:rFonts w:hint="default" w:ascii="Arial" w:hAnsi="Arial" w:cs="Arial"/>
      <w:sz w:val="24"/>
      <w:szCs w:val="24"/>
      <w:u w:val="none"/>
    </w:rPr>
  </w:style>
  <w:style w:type="character" w:customStyle="1" w:styleId="26">
    <w:name w:val="apple-style-span"/>
    <w:basedOn w:val="4"/>
    <w:qFormat/>
    <w:uiPriority w:val="0"/>
  </w:style>
  <w:style w:type="paragraph" w:styleId="27">
    <w:name w:val="Quote"/>
    <w:basedOn w:val="1"/>
    <w:next w:val="1"/>
    <w:link w:val="2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lang w:eastAsia="en-US"/>
    </w:rPr>
  </w:style>
  <w:style w:type="character" w:customStyle="1" w:styleId="28">
    <w:name w:val="Citação Char"/>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rPr>
      <w:szCs w:val="20"/>
    </w:rPr>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s="Times New Roman"/>
      <w:i/>
      <w:iCs/>
      <w:color w:val="000000"/>
      <w:lang w:eastAsia="en-US"/>
    </w:rPr>
  </w:style>
  <w:style w:type="character" w:customStyle="1" w:styleId="32">
    <w:name w:val="Grade Colorida - Ênfase 1 Char"/>
    <w:link w:val="31"/>
    <w:qFormat/>
    <w:uiPriority w:val="29"/>
    <w:rPr>
      <w:rFonts w:ascii="Ecofont_Spranq_eco_Sans" w:hAnsi="Ecofont_Spranq_eco_Sans" w:eastAsia="Calibri"/>
      <w:i/>
      <w:iCs/>
      <w:color w:val="000000"/>
      <w:szCs w:val="24"/>
      <w:shd w:val="clear" w:color="auto" w:fill="FFFFCC"/>
      <w:lang w:eastAsia="en-US"/>
    </w:rPr>
  </w:style>
  <w:style w:type="character" w:customStyle="1" w:styleId="33">
    <w:name w:val="Cabeçalho Char"/>
    <w:basedOn w:val="4"/>
    <w:link w:val="15"/>
    <w:qFormat/>
    <w:uiPriority w:val="0"/>
    <w:rPr>
      <w:rFonts w:ascii="Ecofont_Spranq_eco_Sans" w:hAnsi="Ecofont_Spranq_eco_Sans" w:cs="Tahoma"/>
      <w:sz w:val="24"/>
      <w:szCs w:val="24"/>
    </w:rPr>
  </w:style>
  <w:style w:type="character" w:customStyle="1" w:styleId="34">
    <w:name w:val="Rodapé Char"/>
    <w:basedOn w:val="4"/>
    <w:link w:val="17"/>
    <w:qFormat/>
    <w:uiPriority w:val="99"/>
    <w:rPr>
      <w:rFonts w:ascii="Ecofont_Spranq_eco_Sans" w:hAnsi="Ecofont_Spranq_eco_Sans" w:cs="Tahoma"/>
      <w:sz w:val="24"/>
      <w:szCs w:val="24"/>
    </w:rPr>
  </w:style>
  <w:style w:type="paragraph" w:customStyle="1" w:styleId="35">
    <w:name w:val="Nivel1"/>
    <w:basedOn w:val="2"/>
    <w:next w:val="1"/>
    <w:link w:val="37"/>
    <w:qFormat/>
    <w:uiPriority w:val="0"/>
    <w:pPr>
      <w:numPr>
        <w:ilvl w:val="0"/>
        <w:numId w:val="2"/>
      </w:numPr>
      <w:spacing w:before="480" w:after="120" w:line="276" w:lineRule="auto"/>
      <w:jc w:val="both"/>
    </w:pPr>
    <w:rPr>
      <w:rFonts w:ascii="Arial" w:hAnsi="Arial" w:cs="Arial"/>
      <w:b/>
      <w:color w:val="000000"/>
      <w:sz w:val="20"/>
      <w:szCs w:val="20"/>
    </w:rPr>
  </w:style>
  <w:style w:type="character" w:customStyle="1" w:styleId="36">
    <w:name w:val="Título 1 Char"/>
    <w:basedOn w:val="4"/>
    <w:link w:val="2"/>
    <w:qFormat/>
    <w:uiPriority w:val="0"/>
    <w:rPr>
      <w:rFonts w:asciiTheme="majorHAnsi" w:hAnsiTheme="majorHAnsi" w:eastAsiaTheme="majorEastAsia" w:cstheme="majorBidi"/>
      <w:color w:val="376092" w:themeColor="accent1" w:themeShade="BF"/>
      <w:sz w:val="32"/>
      <w:szCs w:val="32"/>
    </w:rPr>
  </w:style>
  <w:style w:type="character" w:customStyle="1" w:styleId="37">
    <w:name w:val="Nivel1 Char"/>
    <w:basedOn w:val="36"/>
    <w:link w:val="35"/>
    <w:qFormat/>
    <w:uiPriority w:val="0"/>
    <w:rPr>
      <w:rFonts w:ascii="Arial" w:hAnsi="Arial" w:cs="Arial" w:eastAsiaTheme="majorEastAsia"/>
      <w:b/>
      <w:color w:val="000000"/>
      <w:sz w:val="32"/>
      <w:szCs w:val="32"/>
    </w:rPr>
  </w:style>
  <w:style w:type="character" w:customStyle="1" w:styleId="38">
    <w:name w:val="Texto de comentário Char"/>
    <w:basedOn w:val="4"/>
    <w:link w:val="12"/>
    <w:qFormat/>
    <w:uiPriority w:val="0"/>
    <w:rPr>
      <w:rFonts w:ascii="Arial" w:hAnsi="Arial" w:cs="Tahoma"/>
      <w:sz w:val="24"/>
      <w:szCs w:val="24"/>
    </w:rPr>
  </w:style>
  <w:style w:type="character" w:customStyle="1" w:styleId="39">
    <w:name w:val="Assunto do comentário Char"/>
    <w:basedOn w:val="38"/>
    <w:link w:val="16"/>
    <w:semiHidden/>
    <w:qFormat/>
    <w:uiPriority w:val="0"/>
    <w:rPr>
      <w:rFonts w:ascii="Arial" w:hAnsi="Arial" w:cs="Tahoma"/>
      <w:b/>
      <w:bCs/>
      <w:sz w:val="24"/>
      <w:szCs w:val="24"/>
    </w:rPr>
  </w:style>
  <w:style w:type="paragraph" w:customStyle="1" w:styleId="40">
    <w:name w:val="Nivel 01"/>
    <w:basedOn w:val="2"/>
    <w:next w:val="1"/>
    <w:link w:val="41"/>
    <w:qFormat/>
    <w:uiPriority w:val="0"/>
    <w:pPr>
      <w:tabs>
        <w:tab w:val="left" w:pos="567"/>
      </w:tabs>
      <w:jc w:val="both"/>
    </w:pPr>
    <w:rPr>
      <w:rFonts w:ascii="Ecofont_Spranq_eco_Sans" w:hAnsi="Ecofont_Spranq_eco_Sans" w:cs="Times New Roman"/>
      <w:b/>
      <w:bCs/>
      <w:color w:val="000000"/>
      <w:sz w:val="20"/>
      <w:szCs w:val="20"/>
    </w:rPr>
  </w:style>
  <w:style w:type="character" w:customStyle="1" w:styleId="41">
    <w:name w:val="Nivel 01 Char"/>
    <w:basedOn w:val="4"/>
    <w:link w:val="40"/>
    <w:qFormat/>
    <w:uiPriority w:val="0"/>
    <w:rPr>
      <w:rFonts w:ascii="Ecofont_Spranq_eco_Sans" w:hAnsi="Ecofont_Spranq_eco_Sans" w:eastAsiaTheme="majorEastAsia"/>
      <w:b/>
      <w:bCs/>
      <w:color w:val="000000"/>
    </w:rPr>
  </w:style>
  <w:style w:type="paragraph" w:customStyle="1" w:styleId="42">
    <w:name w:val="Nivel_01"/>
    <w:basedOn w:val="2"/>
    <w:link w:val="43"/>
    <w:qFormat/>
    <w:uiPriority w:val="0"/>
    <w:pPr>
      <w:tabs>
        <w:tab w:val="left" w:pos="567"/>
      </w:tabs>
      <w:jc w:val="both"/>
    </w:pPr>
    <w:rPr>
      <w:rFonts w:ascii="Ecofont_Spranq_eco_Sans" w:hAnsi="Ecofont_Spranq_eco_Sans" w:cs="Times New Roman"/>
      <w:b/>
      <w:bCs/>
      <w:color w:val="auto"/>
      <w:sz w:val="20"/>
      <w:szCs w:val="20"/>
    </w:rPr>
  </w:style>
  <w:style w:type="character" w:customStyle="1" w:styleId="43">
    <w:name w:val="Nivel_01 Char"/>
    <w:basedOn w:val="36"/>
    <w:link w:val="42"/>
    <w:qFormat/>
    <w:uiPriority w:val="0"/>
    <w:rPr>
      <w:rFonts w:ascii="Ecofont_Spranq_eco_Sans" w:hAnsi="Ecofont_Spranq_eco_Sans" w:eastAsiaTheme="majorEastAsia" w:cstheme="majorBidi"/>
      <w:b/>
      <w:bCs/>
      <w:color w:val="376092" w:themeColor="accent1" w:themeShade="BF"/>
      <w:sz w:val="32"/>
      <w:szCs w:val="32"/>
    </w:rPr>
  </w:style>
  <w:style w:type="paragraph" w:customStyle="1" w:styleId="4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eastAsia="Calibri"/>
      <w:i/>
      <w:iCs/>
      <w:color w:val="000000"/>
      <w:lang w:eastAsia="zh-CN"/>
    </w:rPr>
  </w:style>
  <w:style w:type="paragraph" w:customStyle="1" w:styleId="45">
    <w:name w:val="Parágrafo da Lista1"/>
    <w:basedOn w:val="1"/>
    <w:qFormat/>
    <w:uiPriority w:val="0"/>
    <w:pPr>
      <w:ind w:left="720"/>
    </w:pPr>
    <w:rPr>
      <w:rFonts w:ascii="Ecofont_Spranq_eco_Sans" w:hAnsi="Ecofont_Spranq_eco_Sans" w:cs="Ecofont_Spranq_eco_Sans"/>
      <w:sz w:val="24"/>
    </w:rPr>
  </w:style>
  <w:style w:type="paragraph" w:customStyle="1" w:styleId="46">
    <w:name w:val="Nivel 2"/>
    <w:link w:val="51"/>
    <w:qFormat/>
    <w:uiPriority w:val="0"/>
    <w:pPr>
      <w:numPr>
        <w:ilvl w:val="1"/>
        <w:numId w:val="3"/>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47">
    <w:name w:val="Nivel 1"/>
    <w:basedOn w:val="46"/>
    <w:next w:val="46"/>
    <w:qFormat/>
    <w:uiPriority w:val="0"/>
    <w:pPr>
      <w:numPr>
        <w:ilvl w:val="0"/>
      </w:numPr>
      <w:tabs>
        <w:tab w:val="left" w:pos="360"/>
      </w:tabs>
      <w:ind w:left="644" w:hanging="432"/>
    </w:pPr>
    <w:rPr>
      <w:rFonts w:cs="Arial"/>
      <w:b/>
    </w:rPr>
  </w:style>
  <w:style w:type="paragraph" w:customStyle="1" w:styleId="48">
    <w:name w:val="Nivel 3"/>
    <w:basedOn w:val="46"/>
    <w:qFormat/>
    <w:uiPriority w:val="0"/>
    <w:pPr>
      <w:numPr>
        <w:ilvl w:val="2"/>
      </w:numPr>
      <w:tabs>
        <w:tab w:val="left" w:pos="360"/>
      </w:tabs>
      <w:ind w:left="1922"/>
    </w:pPr>
    <w:rPr>
      <w:rFonts w:cs="Arial"/>
      <w:color w:val="000000"/>
    </w:rPr>
  </w:style>
  <w:style w:type="paragraph" w:customStyle="1" w:styleId="49">
    <w:name w:val="Nivel 4"/>
    <w:basedOn w:val="48"/>
    <w:qFormat/>
    <w:uiPriority w:val="0"/>
    <w:pPr>
      <w:numPr>
        <w:ilvl w:val="3"/>
      </w:numPr>
      <w:ind w:left="2491"/>
    </w:pPr>
    <w:rPr>
      <w:color w:val="auto"/>
    </w:rPr>
  </w:style>
  <w:style w:type="paragraph" w:customStyle="1" w:styleId="50">
    <w:name w:val="Nivel 5"/>
    <w:basedOn w:val="49"/>
    <w:qFormat/>
    <w:uiPriority w:val="0"/>
    <w:pPr>
      <w:numPr>
        <w:ilvl w:val="4"/>
      </w:numPr>
      <w:ind w:left="3485"/>
    </w:pPr>
  </w:style>
  <w:style w:type="character" w:customStyle="1" w:styleId="51">
    <w:name w:val="Nivel 2 Char"/>
    <w:basedOn w:val="4"/>
    <w:link w:val="46"/>
    <w:qFormat/>
    <w:uiPriority w:val="0"/>
    <w:rPr>
      <w:rFonts w:ascii="Ecofont_Spranq_eco_Sans" w:hAnsi="Ecofont_Spranq_eco_Sans" w:eastAsia="Arial Unicode MS"/>
    </w:rPr>
  </w:style>
  <w:style w:type="paragraph" w:customStyle="1" w:styleId="52">
    <w:name w:val="Citação1"/>
    <w:basedOn w:val="1"/>
    <w:next w:val="1"/>
    <w:link w:val="5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53">
    <w:name w:val="Quote Char"/>
    <w:link w:val="52"/>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54">
    <w:name w:val="apple-converted-space"/>
    <w:basedOn w:val="4"/>
    <w:qFormat/>
    <w:uiPriority w:val="0"/>
  </w:style>
  <w:style w:type="paragraph" w:customStyle="1" w:styleId="55">
    <w:name w:val="Corpo de texto 21"/>
    <w:basedOn w:val="1"/>
    <w:qFormat/>
    <w:uiPriority w:val="99"/>
    <w:pPr>
      <w:widowControl w:val="0"/>
      <w:ind w:firstLine="1560"/>
      <w:jc w:val="both"/>
    </w:pPr>
    <w:rPr>
      <w:rFonts w:ascii="Times New Roman" w:hAnsi="Times New Roman" w:cs="Times New Roman"/>
      <w:sz w:val="24"/>
      <w:szCs w:val="20"/>
    </w:rPr>
  </w:style>
  <w:style w:type="paragraph" w:customStyle="1" w:styleId="56">
    <w:name w:val="Default"/>
    <w:qFormat/>
    <w:uiPriority w:val="0"/>
    <w:pPr>
      <w:autoSpaceDE w:val="0"/>
      <w:autoSpaceDN w:val="0"/>
      <w:adjustRightInd w:val="0"/>
    </w:pPr>
    <w:rPr>
      <w:rFonts w:ascii="Calibri" w:hAnsi="Calibri" w:eastAsia="Times New Roman" w:cs="Calibri"/>
      <w:color w:val="000000"/>
      <w:sz w:val="24"/>
      <w:szCs w:val="24"/>
      <w:lang w:val="pt-BR" w:eastAsia="pt-BR" w:bidi="ar-SA"/>
    </w:rPr>
  </w:style>
  <w:style w:type="character" w:customStyle="1" w:styleId="57">
    <w:name w:val="Texto de nota de rodapé Char"/>
    <w:basedOn w:val="4"/>
    <w:link w:val="19"/>
    <w:semiHidden/>
    <w:qFormat/>
    <w:uiPriority w:val="99"/>
  </w:style>
  <w:style w:type="character" w:customStyle="1" w:styleId="58">
    <w:name w:val="Corpo de texto Char"/>
    <w:basedOn w:val="4"/>
    <w:link w:val="11"/>
    <w:qFormat/>
    <w:uiPriority w:val="0"/>
    <w:rPr>
      <w:rFonts w:eastAsia="MS Mincho"/>
      <w:sz w:val="24"/>
      <w:szCs w:val="24"/>
    </w:rPr>
  </w:style>
  <w:style w:type="character" w:customStyle="1" w:styleId="59">
    <w:name w:val="Parágrafo da Lista Char"/>
    <w:link w:val="21"/>
    <w:qFormat/>
    <w:locked/>
    <w:uiPriority w:val="0"/>
    <w:rPr>
      <w:rFonts w:ascii="Arial" w:hAnsi="Arial" w:cs="Tahoma"/>
      <w:szCs w:val="24"/>
    </w:rPr>
  </w:style>
  <w:style w:type="paragraph" w:customStyle="1" w:styleId="60">
    <w:name w:val="pb-0"/>
    <w:basedOn w:val="1"/>
    <w:qFormat/>
    <w:uiPriority w:val="0"/>
    <w:pPr>
      <w:spacing w:before="100" w:beforeAutospacing="1" w:after="100" w:afterAutospacing="1"/>
    </w:pPr>
    <w:rPr>
      <w:rFonts w:ascii="Times New Roman" w:hAnsi="Times New Roman" w:cs="Times New Roman"/>
      <w:sz w:val="24"/>
    </w:rPr>
  </w:style>
  <w:style w:type="character" w:customStyle="1" w:styleId="61">
    <w:name w:val="Unresolved Mention"/>
    <w:basedOn w:val="4"/>
    <w:semiHidden/>
    <w:unhideWhenUsed/>
    <w:qFormat/>
    <w:uiPriority w:val="99"/>
    <w:rPr>
      <w:color w:val="605E5C"/>
      <w:shd w:val="clear" w:color="auto" w:fill="E1DFDD"/>
    </w:rPr>
  </w:style>
  <w:style w:type="paragraph" w:customStyle="1" w:styleId="62">
    <w:name w:val="Título 51"/>
    <w:basedOn w:val="1"/>
    <w:qFormat/>
    <w:uiPriority w:val="0"/>
    <w:pPr>
      <w:ind w:left="258"/>
      <w:outlineLvl w:val="5"/>
    </w:pPr>
    <w:rPr>
      <w:rFonts w:eastAsia="Arial" w:cs="Arial"/>
      <w:sz w:val="24"/>
      <w:lang w:val="pt-PT" w:eastAsia="pt-PT" w:bidi="pt-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datastoreItem>
</file>

<file path=customXml/itemProps2.xml><?xml version="1.0" encoding="utf-8"?>
<ds:datastoreItem xmlns:ds="http://schemas.openxmlformats.org/officeDocument/2006/customXml" ds:itemID="{6980718D-6FE4-400B-A348-4E4AD904146E}">
  <ds:schemaRefs/>
</ds:datastoreItem>
</file>

<file path=customXml/itemProps3.xml><?xml version="1.0" encoding="utf-8"?>
<ds:datastoreItem xmlns:ds="http://schemas.openxmlformats.org/officeDocument/2006/customXml" ds:itemID="{896A346E-3D65-4908-BFD2-3547E530EB91}">
  <ds:schemaRefs/>
</ds:datastoreItem>
</file>

<file path=customXml/itemProps4.xml><?xml version="1.0" encoding="utf-8"?>
<ds:datastoreItem xmlns:ds="http://schemas.openxmlformats.org/officeDocument/2006/customXml" ds:itemID="{663F79A0-2924-4803-A7F1-5E0CD7F658A1}">
  <ds:schemaRefs/>
</ds:datastoreItem>
</file>

<file path=docProps/app.xml><?xml version="1.0" encoding="utf-8"?>
<Properties xmlns="http://schemas.openxmlformats.org/officeDocument/2006/extended-properties" xmlns:vt="http://schemas.openxmlformats.org/officeDocument/2006/docPropsVTypes">
  <Template>TR compras</Template>
  <Company>EDUARDO DOTTI</Company>
  <Pages>13</Pages>
  <Words>5626</Words>
  <Characters>30381</Characters>
  <Lines>253</Lines>
  <Paragraphs>71</Paragraphs>
  <TotalTime>1</TotalTime>
  <ScaleCrop>false</ScaleCrop>
  <LinksUpToDate>false</LinksUpToDate>
  <CharactersWithSpaces>35936</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2022-02-03T12:24:00Z</dcterms:created>
  <dc:creator>Mayra</dc:creator>
  <cp:lastModifiedBy>Mayra</cp:lastModifiedBy>
  <cp:lastPrinted>2022-02-03T12:23:00Z</cp:lastPrinted>
  <dcterms:modified xsi:type="dcterms:W3CDTF">2023-03-27T12:13:54Z</dcterms:modified>
  <dc:title>Requisição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1046-11.2.0.11513</vt:lpwstr>
  </property>
  <property fmtid="{D5CDD505-2E9C-101B-9397-08002B2CF9AE}" pid="4" name="ICV">
    <vt:lpwstr>2EC1F10F2D5B4332ADB948F2B6603432</vt:lpwstr>
  </property>
</Properties>
</file>